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C76C" w14:textId="77777777" w:rsidR="00A05AF3" w:rsidRDefault="00A05AF3" w:rsidP="00A05AF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Assessor for Fife Council</w:t>
      </w:r>
    </w:p>
    <w:p w14:paraId="26E365C2" w14:textId="2DF05D82" w:rsidR="00A05AF3" w:rsidRDefault="00A05AF3" w:rsidP="00A05AF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Revaluation 2023</w:t>
      </w:r>
    </w:p>
    <w:p w14:paraId="7CC3900D" w14:textId="38D3B0BF" w:rsidR="00A05AF3" w:rsidRDefault="00A05AF3" w:rsidP="00A05AF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Local Practice Note</w:t>
      </w:r>
    </w:p>
    <w:p w14:paraId="00CC6E1A" w14:textId="6C4FA7E6" w:rsidR="00F9182F" w:rsidRDefault="00A05AF3" w:rsidP="00A05AF3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Valuation of Contractor’s Huts etc</w:t>
      </w:r>
    </w:p>
    <w:p w14:paraId="46E9023D" w14:textId="7407B659" w:rsidR="00A05AF3" w:rsidRDefault="00A05AF3" w:rsidP="00A05AF3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41DB4308" w14:textId="34738F21" w:rsidR="00A05AF3" w:rsidRPr="00A05AF3" w:rsidRDefault="00A05AF3" w:rsidP="005768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 w:rsidRPr="00A05AF3">
        <w:rPr>
          <w:rFonts w:ascii="Helvetica-Bold" w:hAnsi="Helvetica-Bold" w:cs="Helvetica-Bold"/>
          <w:b/>
          <w:bCs/>
          <w:sz w:val="24"/>
          <w:szCs w:val="24"/>
        </w:rPr>
        <w:t xml:space="preserve">Introduction </w:t>
      </w:r>
    </w:p>
    <w:p w14:paraId="3CC0330F" w14:textId="77777777" w:rsidR="00A05AF3" w:rsidRP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13A7501E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left="426" w:right="1513" w:hanging="42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Practice Note (PN) applies to the valuation of typical contractor’s</w:t>
      </w:r>
    </w:p>
    <w:p w14:paraId="14B949F2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left="426" w:right="1513" w:hanging="42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buildings normally found on construction sites or similar and is only to</w:t>
      </w:r>
    </w:p>
    <w:p w14:paraId="2356817D" w14:textId="72A79420" w:rsidR="00A05AF3" w:rsidRDefault="00A05AF3" w:rsidP="00576897">
      <w:pPr>
        <w:autoSpaceDE w:val="0"/>
        <w:autoSpaceDN w:val="0"/>
        <w:adjustRightInd w:val="0"/>
        <w:spacing w:after="0" w:line="240" w:lineRule="auto"/>
        <w:ind w:left="426" w:right="1513" w:hanging="42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 used for such buildings in these and similar locations.</w:t>
      </w:r>
    </w:p>
    <w:p w14:paraId="21EA7E12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48B25135" w14:textId="3BF3487D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2.0 Basis of Valuation</w:t>
      </w:r>
    </w:p>
    <w:p w14:paraId="7F30B5FA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27354D6F" w14:textId="3002FA6B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basis of valuation is the Contractor’s Principle based on a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consideration of replacement cost evidence and using the appropriate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decapitalisation rate.</w:t>
      </w:r>
    </w:p>
    <w:p w14:paraId="58E344CE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42E85339" w14:textId="21D36A0E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3.0 Survey and Measurement</w:t>
      </w:r>
    </w:p>
    <w:p w14:paraId="46985F0C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36E2C1D5" w14:textId="2D04D54A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buildings will be measured in terms of Gross External Area (GEA)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and their make, model, construction, internal finish, standard of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heating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and lighting, area of toilet accommodation, and their condition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noted.</w:t>
      </w:r>
    </w:p>
    <w:p w14:paraId="675D8BE1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6BF99577" w14:textId="3A56A106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Fenced compounds and hardstandings will be measured and the area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calculated in m2. A full description will be recorded including the type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and condition of surfacing and fencing, layout and location of the site.</w:t>
      </w:r>
    </w:p>
    <w:p w14:paraId="56817770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60E7E1D3" w14:textId="3FCFEFBC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4.0 Buildings</w:t>
      </w:r>
    </w:p>
    <w:p w14:paraId="272CD64A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06032883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4.1 </w:t>
      </w:r>
    </w:p>
    <w:p w14:paraId="2951911F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7A95EB86" w14:textId="38C7E63D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Using the decapitalisation rate of 4.6%, typical examples of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buildings likely to be encountered are listed in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Table 1 </w:t>
      </w:r>
      <w:r>
        <w:rPr>
          <w:rFonts w:ascii="Helvetica" w:hAnsi="Helvetica" w:cs="Helvetica"/>
          <w:sz w:val="24"/>
          <w:szCs w:val="24"/>
        </w:rPr>
        <w:t>below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with recommended rates/m2GEA to Net Annual Value indicated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which are inclusive of elements of site and siting value for each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building/unit. Rates adopted should be interpolated for different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sizes. The rate/m2GEA to be applied is determined in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accordance with the GEA of each separate building/unit being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considered, and not with reference to the total area of buildings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at a subject. Reference should be made to the</w:t>
      </w:r>
      <w:r w:rsidR="0031687C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Rating Cost Guide </w:t>
      </w:r>
      <w:r w:rsidR="0031687C">
        <w:rPr>
          <w:rFonts w:ascii="Helvetica" w:hAnsi="Helvetica" w:cs="Helvetica"/>
          <w:sz w:val="24"/>
          <w:szCs w:val="24"/>
        </w:rPr>
        <w:t xml:space="preserve">Scotland </w:t>
      </w:r>
      <w:r>
        <w:rPr>
          <w:rFonts w:ascii="Helvetica" w:hAnsi="Helvetica" w:cs="Helvetica"/>
          <w:sz w:val="24"/>
          <w:szCs w:val="24"/>
        </w:rPr>
        <w:t>when the guidance given in</w:t>
      </w:r>
      <w:r w:rsidR="00911022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Table 1 </w:t>
      </w:r>
      <w:r>
        <w:rPr>
          <w:rFonts w:ascii="Helvetica" w:hAnsi="Helvetica" w:cs="Helvetica"/>
          <w:sz w:val="24"/>
          <w:szCs w:val="24"/>
        </w:rPr>
        <w:t>is insufficient. In doing so,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appropriate consideration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should be given to any required adjustment to reflect different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methods of measurement.</w:t>
      </w:r>
    </w:p>
    <w:p w14:paraId="610776FF" w14:textId="77777777" w:rsidR="00A05AF3" w:rsidRDefault="00A05AF3" w:rsidP="00A05A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050FFB" w14:textId="6EBDFF26" w:rsidR="00A05AF3" w:rsidRDefault="00A05AF3" w:rsidP="00A05A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F2468D" w14:textId="77777777" w:rsidR="00911022" w:rsidRDefault="00911022" w:rsidP="00A05A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FACA94" w14:textId="77777777" w:rsidR="00A05AF3" w:rsidRDefault="00A05AF3" w:rsidP="00A05A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6D0E9C" w14:textId="77777777" w:rsidR="00576897" w:rsidRDefault="00576897" w:rsidP="00A05A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C81AE12" w14:textId="77777777" w:rsidR="00576897" w:rsidRDefault="00576897" w:rsidP="00A05A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D3C0206" w14:textId="286C443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4.2</w:t>
      </w:r>
    </w:p>
    <w:p w14:paraId="6B62C99F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00827BAC" w14:textId="4E55A1E3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rates/m2GEA given in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Table 1 </w:t>
      </w:r>
      <w:r>
        <w:rPr>
          <w:rFonts w:ascii="Helvetica" w:hAnsi="Helvetica" w:cs="Helvetica"/>
          <w:sz w:val="24"/>
          <w:szCs w:val="24"/>
        </w:rPr>
        <w:t>should be adopted for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buildings in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good condition. Allowances for buildings in poor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condition are at the valuer’s discretion up to a maximum of 25%.</w:t>
      </w:r>
    </w:p>
    <w:p w14:paraId="28CF27FD" w14:textId="21FF2E54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Times-Roman" w:hAnsi="Times-Roman" w:cs="Times-Roman"/>
          <w:sz w:val="20"/>
          <w:szCs w:val="20"/>
        </w:rPr>
      </w:pPr>
    </w:p>
    <w:p w14:paraId="2E3DD8B9" w14:textId="55A11173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5.0 Ground</w:t>
      </w:r>
    </w:p>
    <w:p w14:paraId="1F2746D1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3B681B14" w14:textId="77777777" w:rsidR="00576897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specific addition as part of a unum quid valuation should only be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made for fenced compounds with definite use for storage of materials,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hardstandings for the parking of vehicles, or other beneficial use e.g.the</w:t>
      </w:r>
    </w:p>
    <w:p w14:paraId="3DA178A5" w14:textId="0DE69D4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siting of advertising signage. It is expected that most ground to be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valued will be in the nature of storage or hardstandings and this will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be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valued in accordance with the guidance contained in the Local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Practice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Note Valuation of Factories, Warehouses, Workshops and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Stores. Where buildings are sited within such an area of ground, the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 w:rsidR="0083602F">
        <w:rPr>
          <w:rFonts w:ascii="Helvetica" w:hAnsi="Helvetica" w:cs="Helvetica"/>
          <w:sz w:val="24"/>
          <w:szCs w:val="24"/>
        </w:rPr>
        <w:t>ground floor</w:t>
      </w:r>
      <w:r>
        <w:rPr>
          <w:rFonts w:ascii="Helvetica" w:hAnsi="Helvetica" w:cs="Helvetica"/>
          <w:sz w:val="24"/>
          <w:szCs w:val="24"/>
        </w:rPr>
        <w:t xml:space="preserve"> area of such buildings only will be excluded from the area</w:t>
      </w:r>
      <w:r w:rsidR="0057689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of ground separately added for valuation purposes.</w:t>
      </w:r>
    </w:p>
    <w:p w14:paraId="311FAACF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769E1E97" w14:textId="26E8840B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6.0 Other Valuation Elements</w:t>
      </w:r>
    </w:p>
    <w:p w14:paraId="411E605B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6ADEF28F" w14:textId="7906397E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Valuation elements may be encountered as part of the unum quid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valuation that are out with the scope of this PN (e.g.</w:t>
      </w:r>
      <w:r w:rsidR="008B645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advertising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signage). Such valuation elements will be valued as appropriate.</w:t>
      </w:r>
    </w:p>
    <w:p w14:paraId="0D68F254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</w:p>
    <w:p w14:paraId="060C47D3" w14:textId="0E253A10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7.0 Quantity Allowance</w:t>
      </w:r>
    </w:p>
    <w:p w14:paraId="45313E78" w14:textId="77777777" w:rsidR="00A05AF3" w:rsidRDefault="00A05AF3" w:rsidP="00576897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08AE4FE7" w14:textId="67D87691" w:rsidR="00A05AF3" w:rsidRDefault="00A05AF3" w:rsidP="0083602F">
      <w:p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stated in 4.1 above, the rates/m2 to NAV for each building are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determined in accordance with the GEA of the individual building/unit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being considered. However, when the total area of buildings at a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subject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exceeds 500m2GEA, an allowance for the total area of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accommodation provided may be appropriate. Reference should be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made to the  Rating Cost Guide </w:t>
      </w:r>
      <w:r w:rsidR="0031687C">
        <w:rPr>
          <w:rFonts w:ascii="Helvetica" w:hAnsi="Helvetica" w:cs="Helvetica"/>
          <w:sz w:val="24"/>
          <w:szCs w:val="24"/>
        </w:rPr>
        <w:t xml:space="preserve">Scotland </w:t>
      </w:r>
      <w:r>
        <w:rPr>
          <w:rFonts w:ascii="Helvetica" w:hAnsi="Helvetica" w:cs="Helvetica"/>
          <w:sz w:val="24"/>
          <w:szCs w:val="24"/>
        </w:rPr>
        <w:t>when</w:t>
      </w:r>
      <w:r w:rsidR="0083602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considering any such allowance.</w:t>
      </w:r>
    </w:p>
    <w:p w14:paraId="348EE388" w14:textId="77777777" w:rsidR="000C0D1D" w:rsidRDefault="000C0D1D" w:rsidP="00A05AF3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0219BEED" w14:textId="77777777" w:rsidR="000C0D1D" w:rsidRDefault="000C0D1D" w:rsidP="00A05AF3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0EB1720B" w14:textId="77777777" w:rsidR="000C0D1D" w:rsidRDefault="000C0D1D" w:rsidP="00A05AF3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2A9198EA" w14:textId="77777777" w:rsidR="000C0D1D" w:rsidRDefault="000C0D1D" w:rsidP="00A05AF3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1B519B1C" w14:textId="77777777" w:rsidR="005278BA" w:rsidRDefault="005278BA" w:rsidP="00A05AF3">
      <w:pPr>
        <w:rPr>
          <w:rFonts w:ascii="Helvetica-Bold" w:hAnsi="Helvetica-Bold" w:cs="Helvetica-Bold"/>
          <w:b/>
          <w:bCs/>
          <w:sz w:val="24"/>
          <w:szCs w:val="24"/>
        </w:rPr>
        <w:sectPr w:rsidR="005278BA" w:rsidSect="005278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BA1AB5" w14:textId="4772CC6F" w:rsidR="000C0D1D" w:rsidRDefault="004C0EB5" w:rsidP="00A05AF3">
      <w:pPr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lastRenderedPageBreak/>
        <w:t>Table 1</w:t>
      </w:r>
    </w:p>
    <w:tbl>
      <w:tblPr>
        <w:tblW w:w="13740" w:type="dxa"/>
        <w:tblLook w:val="04A0" w:firstRow="1" w:lastRow="0" w:firstColumn="1" w:lastColumn="0" w:noHBand="0" w:noVBand="1"/>
      </w:tblPr>
      <w:tblGrid>
        <w:gridCol w:w="1247"/>
        <w:gridCol w:w="4602"/>
        <w:gridCol w:w="102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76897" w:rsidRPr="00CE23D6" w14:paraId="254B24FD" w14:textId="77777777" w:rsidTr="00576897">
        <w:trPr>
          <w:trHeight w:val="312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7D2EF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Designation</w:t>
            </w:r>
          </w:p>
        </w:tc>
        <w:tc>
          <w:tcPr>
            <w:tcW w:w="4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A7E6EA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F68B34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Area SQ M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EB1595F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4BE510D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4383AC2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C3318EB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F4FAD30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EB3DEA8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571B32A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5F32DD2" w14:textId="77777777" w:rsidR="000C0D1D" w:rsidRPr="00CE23D6" w:rsidRDefault="000C0D1D" w:rsidP="00576897">
            <w:pPr>
              <w:spacing w:after="0" w:line="240" w:lineRule="auto"/>
              <w:ind w:left="-656" w:right="-22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D31A9C7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WC</w:t>
            </w:r>
          </w:p>
        </w:tc>
      </w:tr>
      <w:tr w:rsidR="005278BA" w:rsidRPr="00CE23D6" w14:paraId="4C70ACC1" w14:textId="77777777" w:rsidTr="00576897">
        <w:trPr>
          <w:trHeight w:val="297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4C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Standard 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79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Welded steel frame, plastisol external steel cladding, injected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6F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EA3E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BB0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3D7F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3D1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B3C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8C43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A68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057" w14:textId="77777777" w:rsidR="000C0D1D" w:rsidRPr="00CE23D6" w:rsidRDefault="000C0D1D" w:rsidP="00576897">
            <w:pPr>
              <w:spacing w:after="0" w:line="240" w:lineRule="auto"/>
              <w:ind w:right="-22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08D7C" w14:textId="77777777" w:rsidR="000C0D1D" w:rsidRPr="00CE23D6" w:rsidRDefault="000C0D1D" w:rsidP="00316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66E7893A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58B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D80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polymer core, polyester coated steel internal lining,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383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30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31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77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82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AC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D53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9C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485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4DE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7D72B8E1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3D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CE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aluminium windows and sheet vinyl flooring, telescopic legs.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B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Rate PMS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2916" w14:textId="64E0D469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£92.00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312" w14:textId="1E969FFA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£75.50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90D3" w14:textId="472F9134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£59.00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F15" w14:textId="2E6406E9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£49.00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011" w14:textId="71424C68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£45.00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6455" w14:textId="70F96F22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£42.00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7A5" w14:textId="305EB1E6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£40.00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8BD1" w14:textId="6820C56A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£38.00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1B9D3" w14:textId="063E8A46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£31.00 </w:t>
            </w:r>
          </w:p>
        </w:tc>
      </w:tr>
      <w:tr w:rsidR="005278BA" w:rsidRPr="00CE23D6" w14:paraId="5EF85704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8C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AA5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Includes lighting, heating and power; no plumbing.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DA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86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4D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FC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CD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224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D5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20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1BD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EBF2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14452F85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D7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F1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76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F2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43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DE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C8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46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5C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6F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69E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2EC0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2EBB4DDC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18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-Bold"/>
                <w:b/>
                <w:bCs/>
                <w:color w:val="000000"/>
                <w:sz w:val="18"/>
                <w:szCs w:val="18"/>
                <w:lang w:eastAsia="en-GB"/>
              </w:rPr>
              <w:t>Standard 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4B6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Plastisol coated steel cladding with non-asbestos vinyl roof,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B0A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9E0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A2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D70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3A5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7BF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9B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C9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E25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7D5A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594B9703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C66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40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anodized aluminium windows, sheet vinyl flooring and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95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5DA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17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B6F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C5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CED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0C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A5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377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97E3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44CB4BDC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D2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DE1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plasterboard internal wall and ceiling finish, telescopic legs.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11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Rate PMS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184" w14:textId="51DABA88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£83.00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DB5" w14:textId="1383F804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£68.00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69AF" w14:textId="06E2460B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£53.00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981" w14:textId="4E69E9DE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£43.50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5EA" w14:textId="4447149B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£40.50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9DB" w14:textId="2C2951B5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£38.00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CD53" w14:textId="3BDB97E0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£36.00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8CF" w14:textId="2D112FB4" w:rsidR="000C0D1D" w:rsidRPr="00CE23D6" w:rsidRDefault="00576897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0C0D1D"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35.00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804C2" w14:textId="284B481E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£31.00 </w:t>
            </w:r>
          </w:p>
        </w:tc>
      </w:tr>
      <w:tr w:rsidR="005278BA" w:rsidRPr="00CE23D6" w14:paraId="76D46EE0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86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D5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Includes lighting, heating and power; no plumbing.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DD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C1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28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5F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B0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0A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465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E4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0AA6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464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79D022FC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ED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C1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3C7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B0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190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02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F0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F5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E9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66F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DC78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91E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02ECD2C3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215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-Bold"/>
                <w:b/>
                <w:bCs/>
                <w:color w:val="000000"/>
                <w:sz w:val="18"/>
                <w:szCs w:val="18"/>
                <w:lang w:eastAsia="en-GB"/>
              </w:rPr>
              <w:t>Low Cost 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1A4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Insulated timber batten and plywood faced sandwich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34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3F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A5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E2A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3A5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A9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D6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180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B5B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DF85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0FEA8C45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C4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LC1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88C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construction with colour coated steel external wall, aluminium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2DB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BB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87C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D0C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78C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E72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4B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78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360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D8F9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45869E41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29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DB0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windows, telescopic legs, flat felt roof. Includes lighting,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42C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Rate PMS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B992" w14:textId="3467A393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£78.00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C9F" w14:textId="48CE5BCA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£64.00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9DA6" w14:textId="31A5D8C8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£50.00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3A1" w14:textId="503DBF9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£41.50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EE2" w14:textId="75EE44E3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£38.00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76A1" w14:textId="48304506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£36.00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939" w14:textId="725E459D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£34.00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76A" w14:textId="04863D51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£32.50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200D4" w14:textId="6B1A7293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£31.00 </w:t>
            </w:r>
          </w:p>
        </w:tc>
      </w:tr>
      <w:tr w:rsidR="005278BA" w:rsidRPr="00CE23D6" w14:paraId="3B1A037E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0A4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6B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heating and power; no plumbing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EC4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18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29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A4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CE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5F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12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CE8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8F9E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48F4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0C9B3CF1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CB0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FC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C4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C0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47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437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C5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14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56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62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088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CB4A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6ACAAFA2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DF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-Bold"/>
                <w:b/>
                <w:bCs/>
                <w:color w:val="000000"/>
                <w:sz w:val="18"/>
                <w:szCs w:val="18"/>
                <w:lang w:eastAsia="en-GB"/>
              </w:rPr>
              <w:t>Low Cost 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9F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Insulated timber batten and plywood faced sandwich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DA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29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AD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1A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D4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ED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26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F44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6BB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38CB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23F95E20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18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LC2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70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construction, aluminium windows, telescopic legs, flat felt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D5B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B7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65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F5C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87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C39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F7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AF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95F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BAF1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63275B89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B7C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736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roof. Includes lighting, heating and power; no plumbing.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9B3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Rate PMS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5D0" w14:textId="06FB1C9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£67.00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20EE" w14:textId="5D964AC1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£55.00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CE2" w14:textId="427A40C1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£43.00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C72" w14:textId="6BEBEACE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£35.00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F327" w14:textId="50D5BCB6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£32.50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1507" w14:textId="7ED4E0D3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£31.00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31C" w14:textId="3AF1306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£29.00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C6C" w14:textId="4F3CC905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£28.00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3E5E" w14:textId="70AA5CC6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£31.00 </w:t>
            </w:r>
          </w:p>
        </w:tc>
      </w:tr>
      <w:tr w:rsidR="005278BA" w:rsidRPr="00CE23D6" w14:paraId="59E222FF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A3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61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9F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3F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BA4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76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7C4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91E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56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B7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6ED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0106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6065110C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79D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Timber Hut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17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Weatherboard /felt construction, electric lighting; 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44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9B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8A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78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E3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76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58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002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4B9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AA26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08BFFB1D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C1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TH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724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plumbing.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A9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Rate PMS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6E9" w14:textId="1A1123C9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£46.00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ED7" w14:textId="69BEB0A4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£38.00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43B" w14:textId="67130C9E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£29.50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2B60" w14:textId="549BD0B4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£24.50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9F3" w14:textId="32B582E3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£22.50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4A7" w14:textId="47C20333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£21.00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1BA" w14:textId="3775BD70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£20.00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4E88" w14:textId="36A9E8F6" w:rsidR="000C0D1D" w:rsidRPr="00CE23D6" w:rsidRDefault="00576897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0C0D1D"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19.00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2C22D" w14:textId="52B5FD02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£31.00 </w:t>
            </w:r>
          </w:p>
        </w:tc>
      </w:tr>
      <w:tr w:rsidR="005278BA" w:rsidRPr="00CE23D6" w14:paraId="509460DC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4F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DE3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81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A3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C4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F8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2ED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E8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DF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99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8BC1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2C4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124CC099" w14:textId="77777777" w:rsidTr="00576897">
        <w:trPr>
          <w:trHeight w:val="100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BE6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21A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FD8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FEA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14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E5B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AE6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176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CBE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E53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0EDA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8BC4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5278BA" w:rsidRPr="00CE23D6" w14:paraId="655F2B75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734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CEB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581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FA2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039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562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183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E8F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97B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B88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D37B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3F79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5278BA" w:rsidRPr="00CE23D6" w14:paraId="521B224D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172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D90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F12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2D5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9FE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E16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D68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D60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B45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59B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1287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73BCB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5278BA" w:rsidRPr="00CE23D6" w14:paraId="2FBC979F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C6C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96B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C83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C8D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9D7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D5A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A31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3B4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891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C69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7DA5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7FC0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576897" w:rsidRPr="00CE23D6" w14:paraId="16E37D38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AF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97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5BC7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All Sizes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BAFCD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828A0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5810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6512E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93553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39711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B3F26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66D658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039DD1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2BFFEC28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9A3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Secure Office Unit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E1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Second hand ex shipping all steel storage containers in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4B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047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2A3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08B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11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899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5F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B06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40E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E564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3A9F5070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DA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SOU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DD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reasonable condition, converted for office use with windows,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44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73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F20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F5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7A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F1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25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4C4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83F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54B8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2D1C2C4C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CC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C3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internal faced lining to walls and ceiling, heavy duty painted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6F9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Rate PMS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5570" w14:textId="4BB1C3FF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£33.00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66E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51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AA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7C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A21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67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936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53843" w14:textId="2AB810EA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£31.00 </w:t>
            </w:r>
          </w:p>
        </w:tc>
      </w:tr>
      <w:tr w:rsidR="005278BA" w:rsidRPr="00CE23D6" w14:paraId="2F991C0D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1DC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122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floor, strip lighting and socket outlet, externally painted; 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ED8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80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0B6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7F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1B8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01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33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70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4C48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A48D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76AE5565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E3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AB8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plumbing.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C6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F0A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A5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33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817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C1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51C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15F1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AAE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6FDA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2232068D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07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FE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594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7A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CE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DA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356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7E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1B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B4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AD8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B9F10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7F9B9385" w14:textId="77777777" w:rsidTr="00576897">
        <w:trPr>
          <w:trHeight w:val="29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B9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Secure Storage Unit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6F4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Second hand ex shipping all steel storage containers in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0B7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4918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EA3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52C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57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7D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11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A79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ABC9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21BF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278BA" w:rsidRPr="00CE23D6" w14:paraId="3EA94E2F" w14:textId="77777777" w:rsidTr="00576897">
        <w:trPr>
          <w:trHeight w:val="312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E2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SSU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DBE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Helvetica"/>
                <w:color w:val="000000"/>
                <w:sz w:val="18"/>
                <w:szCs w:val="18"/>
                <w:lang w:eastAsia="en-GB"/>
              </w:rPr>
              <w:t>reasonable condition, generally used for secure site storage.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39E2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Rate PMS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8538" w14:textId="7DB8D950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£11.00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165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78B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FE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1A36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12D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0BC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76B" w14:textId="77777777" w:rsidR="000C0D1D" w:rsidRPr="00CE23D6" w:rsidRDefault="000C0D1D" w:rsidP="00576897">
            <w:pPr>
              <w:spacing w:after="0" w:line="240" w:lineRule="auto"/>
              <w:ind w:right="-2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62369" w14:textId="77777777" w:rsidR="000C0D1D" w:rsidRPr="00CE23D6" w:rsidRDefault="000C0D1D" w:rsidP="0031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E23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4B83360" w14:textId="77777777" w:rsidR="005278BA" w:rsidRDefault="005278BA" w:rsidP="00A05AF3">
      <w:pPr>
        <w:rPr>
          <w:rFonts w:ascii="Helvetica" w:hAnsi="Helvetica" w:cs="Helvetica"/>
          <w:sz w:val="24"/>
          <w:szCs w:val="24"/>
        </w:rPr>
        <w:sectPr w:rsidR="005278BA" w:rsidSect="005278BA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5BEB136" w14:textId="77777777" w:rsidR="00A05AF3" w:rsidRDefault="00A05AF3" w:rsidP="0031204E"/>
    <w:sectPr w:rsidR="00A05AF3" w:rsidSect="00527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7354" w14:textId="77777777" w:rsidR="007563B6" w:rsidRDefault="007563B6" w:rsidP="0031204E">
      <w:pPr>
        <w:spacing w:after="0" w:line="240" w:lineRule="auto"/>
      </w:pPr>
      <w:r>
        <w:separator/>
      </w:r>
    </w:p>
  </w:endnote>
  <w:endnote w:type="continuationSeparator" w:id="0">
    <w:p w14:paraId="136C4C9D" w14:textId="77777777" w:rsidR="007563B6" w:rsidRDefault="007563B6" w:rsidP="0031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A5A0" w14:textId="77777777" w:rsidR="0031204E" w:rsidRDefault="00312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AC02" w14:textId="77777777" w:rsidR="0031204E" w:rsidRDefault="00312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18DC" w14:textId="77777777" w:rsidR="0031204E" w:rsidRDefault="0031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8375" w14:textId="77777777" w:rsidR="007563B6" w:rsidRDefault="007563B6" w:rsidP="0031204E">
      <w:pPr>
        <w:spacing w:after="0" w:line="240" w:lineRule="auto"/>
      </w:pPr>
      <w:r>
        <w:separator/>
      </w:r>
    </w:p>
  </w:footnote>
  <w:footnote w:type="continuationSeparator" w:id="0">
    <w:p w14:paraId="33444E1F" w14:textId="77777777" w:rsidR="007563B6" w:rsidRDefault="007563B6" w:rsidP="0031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7D09" w14:textId="77777777" w:rsidR="0031204E" w:rsidRDefault="00312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C47B" w14:textId="2967656C" w:rsidR="0031204E" w:rsidRDefault="00312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B400" w14:textId="77777777" w:rsidR="0031204E" w:rsidRDefault="00312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462C"/>
    <w:multiLevelType w:val="multilevel"/>
    <w:tmpl w:val="9DDEC47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0303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F3"/>
    <w:rsid w:val="00091659"/>
    <w:rsid w:val="000C0D1D"/>
    <w:rsid w:val="0031204E"/>
    <w:rsid w:val="0031687C"/>
    <w:rsid w:val="004C0EB5"/>
    <w:rsid w:val="004F61F6"/>
    <w:rsid w:val="005278BA"/>
    <w:rsid w:val="00576897"/>
    <w:rsid w:val="007563B6"/>
    <w:rsid w:val="00785D16"/>
    <w:rsid w:val="0083602F"/>
    <w:rsid w:val="0086332C"/>
    <w:rsid w:val="008B645E"/>
    <w:rsid w:val="00911022"/>
    <w:rsid w:val="00A05AF3"/>
    <w:rsid w:val="00EB24B2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9A43F"/>
  <w15:chartTrackingRefBased/>
  <w15:docId w15:val="{C93065EB-85E0-4543-B871-09B8B63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AF3"/>
    <w:pPr>
      <w:ind w:left="720"/>
      <w:contextualSpacing/>
    </w:pPr>
  </w:style>
  <w:style w:type="table" w:styleId="TableGrid">
    <w:name w:val="Table Grid"/>
    <w:basedOn w:val="TableNormal"/>
    <w:uiPriority w:val="39"/>
    <w:rsid w:val="004C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6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2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4E"/>
  </w:style>
  <w:style w:type="paragraph" w:styleId="Footer">
    <w:name w:val="footer"/>
    <w:basedOn w:val="Normal"/>
    <w:link w:val="FooterChar"/>
    <w:uiPriority w:val="99"/>
    <w:unhideWhenUsed/>
    <w:rsid w:val="00312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RevalOpt xmlns="2c915fab-7202-43fd-8584-2a0f08cf38e3" xsi:nil="true"/>
    <kc29f3948dc640c3875a02aa75e14f34 xmlns="2c915fab-7202-43fd-8584-2a0f08cf38e3">
      <Terms xmlns="http://schemas.microsoft.com/office/infopath/2007/PartnerControls"/>
    </kc29f3948dc640c3875a02aa75e14f34>
    <PracticeNoteTopicRevalReq xmlns="2c915fab-7202-43fd-8584-2a0f08cf38e3"/>
    <RevaluationReq xmlns="2c915fab-7202-43fd-8584-2a0f08cf38e3"/>
    <TaxCatchAll xmlns="264c5323-e590-4694-88b8-b70f18bb79bc" xsi:nil="true"/>
    <Protective_x0020_Marking xmlns="264c5323-e590-4694-88b8-b70f18bb79bc">OFFICIAL</Protective_x0020_Marking>
    <Revaluation_x0020_Date xmlns="264c5323-e590-4694-88b8-b70f18bb79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65B1CC9AADCBCB4C9C135987CC5E8CAB" ma:contentTypeVersion="291" ma:contentTypeDescription="" ma:contentTypeScope="" ma:versionID="a6e6fe9cfd4e68d03523397b4969558b">
  <xsd:schema xmlns:xsd="http://www.w3.org/2001/XMLSchema" xmlns:xs="http://www.w3.org/2001/XMLSchema" xmlns:p="http://schemas.microsoft.com/office/2006/metadata/properties" xmlns:ns2="264c5323-e590-4694-88b8-b70f18bb79bc" xmlns:ns3="2c915fab-7202-43fd-8584-2a0f08cf38e3" targetNamespace="http://schemas.microsoft.com/office/2006/metadata/properties" ma:root="true" ma:fieldsID="7fe95ce74c22411c71f5cf5ab62aa034" ns2:_="" ns3:_="">
    <xsd:import namespace="264c5323-e590-4694-88b8-b70f18bb79bc"/>
    <xsd:import namespace="2c915fab-7202-43fd-8584-2a0f08cf38e3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valuation_x0020_Date" minOccurs="0"/>
                <xsd:element ref="ns3:RevaluationReq"/>
                <xsd:element ref="ns3:PracticeNoteTopicRevalReq"/>
                <xsd:element ref="ns3:TypeRevalOpt" minOccurs="0"/>
                <xsd:element ref="ns3:kc29f3948dc640c3875a02aa75e14f34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Revaluation_x0020_Date" ma:index="9" nillable="true" ma:displayName="Revaluation Date" ma:format="DateOnly" ma:internalName="Revaluation_x0020_Date">
      <xsd:simpleType>
        <xsd:restriction base="dms:DateTime"/>
      </xsd:simpleType>
    </xsd:element>
    <xsd:element name="TaxCatchAll" ma:index="15" nillable="true" ma:displayName="Taxonomy Catch All Column" ma:hidden="true" ma:list="{b3388281-1174-4b82-8d78-69c5d06d26d1}" ma:internalName="TaxCatchAll" ma:showField="CatchAllData" ma:web="2c915fab-7202-43fd-8584-2a0f08cf3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5fab-7202-43fd-8584-2a0f08cf38e3" elementFormDefault="qualified">
    <xsd:import namespace="http://schemas.microsoft.com/office/2006/documentManagement/types"/>
    <xsd:import namespace="http://schemas.microsoft.com/office/infopath/2007/PartnerControls"/>
    <xsd:element name="RevaluationReq" ma:index="10" ma:displayName="Revaluation*" ma:format="Dropdown" ma:internalName="RevaluationReq">
      <xsd:simpleType>
        <xsd:restriction base="dms:Choice">
          <xsd:enumeration value="Revaluation 2005"/>
          <xsd:enumeration value="Revaluation 2010"/>
          <xsd:enumeration value="Revaluation 2017"/>
          <xsd:enumeration value="Revaluation 2023"/>
          <xsd:enumeration value="Update 2010"/>
          <xsd:enumeration value="Update 2017"/>
          <xsd:enumeration value="Update 2023"/>
          <xsd:enumeration value="Revaluation 2026"/>
          <xsd:enumeration value="Update 2026"/>
        </xsd:restriction>
      </xsd:simpleType>
    </xsd:element>
    <xsd:element name="PracticeNoteTopicRevalReq" ma:index="11" ma:displayName="Practice Note/Topic (Reval)*" ma:format="Dropdown" ma:internalName="PracticeNoteTopicRevalReq">
      <xsd:simpleType>
        <xsd:union memberTypes="dms:Text">
          <xsd:simpleType>
            <xsd:restriction base="dms:Choice">
              <xsd:enumeration value="Adjustment of Rents PN"/>
              <xsd:enumeration value="Advertising Shelters"/>
              <xsd:enumeration value="Advertising Stations"/>
              <xsd:enumeration value="Ambulance Stations"/>
              <xsd:enumeration value="Anemometer Masts"/>
              <xsd:enumeration value="ATM"/>
              <xsd:enumeration value="Audits"/>
              <xsd:enumeration value="Bingo Halls"/>
              <xsd:enumeration value="Bowling Greens"/>
              <xsd:enumeration value="Bulk Categories"/>
              <xsd:enumeration value="Burial Grounds"/>
              <xsd:enumeration value="Bus Shelters"/>
              <xsd:enumeration value="Bus Stations"/>
              <xsd:enumeration value="Car Parks"/>
              <xsd:enumeration value="Car Showrooms"/>
              <xsd:enumeration value="Car Washes (stand alone)"/>
              <xsd:enumeration value="Caravans"/>
              <xsd:enumeration value="Casinos"/>
              <xsd:enumeration value="Churches etc"/>
              <xsd:enumeration value="Cinemas"/>
              <xsd:enumeration value="Clinics"/>
              <xsd:enumeration value="Coal"/>
              <xsd:enumeration value="Computer Centres"/>
              <xsd:enumeration value="Contractors Basis Valuations PN"/>
              <xsd:enumeration value="Contractors Huts"/>
              <xsd:enumeration value="Convenience Stores"/>
              <xsd:enumeration value="Cost Analysis"/>
              <xsd:enumeration value="Cost Guide"/>
              <xsd:enumeration value="Cost Guide Valuations"/>
              <xsd:enumeration value="Covid Appeals"/>
              <xsd:enumeration value="Crematoria"/>
              <xsd:enumeration value="Cricket Grounds"/>
              <xsd:enumeration value="Day Nurseries"/>
              <xsd:enumeration value="Distribution Warehouses"/>
              <xsd:enumeration value="District Heating"/>
              <xsd:enumeration value="Electricity Generation Biogas"/>
              <xsd:enumeration value="Electricity Generation Biomass"/>
              <xsd:enumeration value="Electricity Generation Landfill Gas"/>
              <xsd:enumeration value="Enquiries"/>
              <xsd:enumeration value="Football Grounds"/>
              <xsd:enumeration value="Forms"/>
              <xsd:enumeration value="Free Standing Restaurants"/>
              <xsd:enumeration value="Garden Centres"/>
              <xsd:enumeration value="Gas - IGTs"/>
              <xsd:enumeration value="Gas Network"/>
              <xsd:enumeration value="Golf Courses"/>
              <xsd:enumeration value="Golf Driving Ranges"/>
              <xsd:enumeration value="Greyhound Race Tracks"/>
              <xsd:enumeration value="Guidance - Standard Letters"/>
              <xsd:enumeration value="Hall, Art Galleries &amp; Museums etc"/>
              <xsd:enumeration value="Harbours"/>
              <xsd:enumeration value="Historic Buildings"/>
              <xsd:enumeration value="Holiday Huts, Sheds, Bothies Etc"/>
              <xsd:enumeration value="Hospitals"/>
              <xsd:enumeration value="Hotels"/>
              <xsd:enumeration value="Ice Rinks"/>
              <xsd:enumeration value="Indoor Bowling Stadiums"/>
              <xsd:enumeration value="Industrial Comparative Principle"/>
              <xsd:enumeration value="Industrial Land &amp; Other"/>
              <xsd:enumeration value="Information Division"/>
              <xsd:enumeration value="LA Sports &amp; Leisure Centres"/>
              <xsd:enumeration value="Land Values"/>
              <xsd:enumeration value="Landfill Sites"/>
              <xsd:enumeration value="Large Shops"/>
              <xsd:enumeration value="League Football Grounds"/>
              <xsd:enumeration value="Licensed Clubs"/>
              <xsd:enumeration value="Licensed Premises"/>
              <xsd:enumeration value="Lighthouses &amp; Lighthouse Stations"/>
              <xsd:enumeration value="Local Practice Notes"/>
              <xsd:enumeration value="LV Schedules"/>
              <xsd:enumeration value="Minerals etc"/>
              <xsd:enumeration value="Minor Categories"/>
              <xsd:enumeration value="Misc Subjects"/>
              <xsd:enumeration value="MOD"/>
              <xsd:enumeration value="Motor Racetracks"/>
              <xsd:enumeration value="Occupational Centres"/>
              <xsd:enumeration value="Offices"/>
              <xsd:enumeration value="Outdoor Markets"/>
              <xsd:enumeration value="Petrol Filling Stations"/>
              <xsd:enumeration value="Pipelines"/>
              <xsd:enumeration value="Plant &amp; Machinery"/>
              <xsd:enumeration value="Playing fields"/>
              <xsd:enumeration value="Portal"/>
              <xsd:enumeration value="Premises"/>
              <xsd:enumeration value="Private Health Clubs &amp; Fitness Centres"/>
              <xsd:enumeration value="Public Conveniences"/>
              <xsd:enumeration value="Public Parks"/>
              <xsd:enumeration value="Railway Station Bookstalls"/>
              <xsd:enumeration value="Religious Institutions"/>
              <xsd:enumeration value="Retail Warehouses"/>
              <xsd:enumeration value="Riding Schools/Quasi Agricultural"/>
              <xsd:enumeration value="River Gauging Stations"/>
              <xsd:enumeration value="Salmon Fishings"/>
              <xsd:enumeration value="Schools"/>
              <xsd:enumeration value="Shootings"/>
              <xsd:enumeration value="Shops"/>
              <xsd:enumeration value="Sports Clubhouses &amp; Pavilions"/>
              <xsd:enumeration value="Sports Grounds"/>
              <xsd:enumeration value="Squash Courts"/>
              <xsd:enumeration value="Ten Pin Bowling Alleys"/>
              <xsd:enumeration value="Tennis Courts"/>
              <xsd:enumeration value="Theatres"/>
              <xsd:enumeration value="Timeshares"/>
              <xsd:enumeration value="Universities"/>
              <xsd:enumeration value="Visitor Attractions"/>
              <xsd:enumeration value="Waste Water Treatment Works"/>
              <xsd:enumeration value="Whisky"/>
              <xsd:enumeration value="Wind Farms &amp; Turbines"/>
              <xsd:enumeration value="Wireless Telecoms"/>
              <xsd:enumeration value="Workers Accommodation"/>
            </xsd:restriction>
          </xsd:simpleType>
        </xsd:union>
      </xsd:simpleType>
    </xsd:element>
    <xsd:element name="TypeRevalOpt" ma:index="12" nillable="true" ma:displayName="Type (Reval)" ma:internalName="TypeRevalOpt">
      <xsd:simpleType>
        <xsd:restriction base="dms:Choice">
          <xsd:enumeration value="Not applicable"/>
          <xsd:enumeration value="Cost Analysis"/>
          <xsd:enumeration value="Guidance"/>
          <xsd:enumeration value="Practice Note"/>
          <xsd:enumeration value="Rental Analysis"/>
          <xsd:enumeration value="Research"/>
        </xsd:restriction>
      </xsd:simpleType>
    </xsd:element>
    <xsd:element name="kc29f3948dc640c3875a02aa75e14f34" ma:index="14" nillable="true" ma:taxonomy="true" ma:internalName="kc29f3948dc640c3875a02aa75e14f34" ma:taxonomyFieldName="Geo_x0020_Area_x0020__x0028_Assess_x0029_" ma:displayName="Geo Area (Assess)" ma:default="" ma:fieldId="{4c29f394-8dc6-40c3-875a-02aa75e14f34}" ma:sspId="a91404d7-7751-41e8-a4ee-909c4e7c55f3" ma:termSetId="b2c34468-3b45-41dc-b291-5bf0e3b327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00AE172C-D167-4858-9A54-2470DDB36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7634F-1047-44E7-AC9F-654FF155F9F0}">
  <ds:schemaRefs>
    <ds:schemaRef ds:uri="http://schemas.microsoft.com/office/2006/metadata/properties"/>
    <ds:schemaRef ds:uri="http://schemas.microsoft.com/office/infopath/2007/PartnerControls"/>
    <ds:schemaRef ds:uri="2c915fab-7202-43fd-8584-2a0f08cf38e3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4DD08AED-2437-4616-B8DE-A6D28EB34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915fab-7202-43fd-8584-2a0f08cf3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10410-C7DA-40DF-A46C-DDA446EF90B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Neale Mathieson-as</cp:lastModifiedBy>
  <cp:revision>3</cp:revision>
  <dcterms:created xsi:type="dcterms:W3CDTF">2023-06-23T08:03:00Z</dcterms:created>
  <dcterms:modified xsi:type="dcterms:W3CDTF">2023-06-23T08:37:00Z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0x010100A2637EAA83360140BB49E0F830C79BBC010065B1CC9AADCBCB4C9C135987CC5E8CAB</vt:lpwstr>
  </property>
  <property fmtid="{D5CDD505-2E9C-101B-9397-08002B2CF9AE}" pid="3" name="Geo Area (Assess)">
    <vt:lpwstr/>
  </property>
  <property fmtid="{D5CDD505-2E9C-101B-9397-08002B2CF9AE}" pid="4" name="_dlc_policyId">
    <vt:lpwstr>/sites/assessor/tec-dc/Revaluation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Revaluation_x005f_x0020_Date&lt;/property&gt;&lt;propertyId&gt;00000000-0000-0000-0000-000000000000&lt;/propertyId&gt;&lt;period&gt;days&lt;/period&gt;&lt;/formula&gt;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