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2EA2D" w14:textId="77777777" w:rsidR="00FC1B24" w:rsidRDefault="007763D2">
      <w:pPr>
        <w:jc w:val="center"/>
        <w:rPr>
          <w:rFonts w:ascii="Arial" w:hAnsi="Arial" w:cs="Arial"/>
          <w:b/>
          <w:sz w:val="32"/>
          <w:u w:val="single"/>
        </w:rPr>
      </w:pPr>
      <w:r>
        <w:rPr>
          <w:rFonts w:ascii="Arial" w:hAnsi="Arial" w:cs="Arial"/>
          <w:b/>
          <w:sz w:val="32"/>
          <w:u w:val="single"/>
        </w:rPr>
        <w:t>NOTICE</w:t>
      </w:r>
    </w:p>
    <w:p w14:paraId="3B5EA20E" w14:textId="77777777" w:rsidR="00FC1B24" w:rsidRDefault="00FC1B24">
      <w:pPr>
        <w:jc w:val="center"/>
        <w:rPr>
          <w:rFonts w:ascii="Arial" w:hAnsi="Arial" w:cs="Arial"/>
        </w:rPr>
      </w:pPr>
    </w:p>
    <w:p w14:paraId="387BC788" w14:textId="77777777" w:rsidR="00FC1B24" w:rsidRDefault="007763D2">
      <w:pPr>
        <w:jc w:val="both"/>
        <w:rPr>
          <w:rFonts w:ascii="Arial" w:hAnsi="Arial" w:cs="Arial"/>
        </w:rPr>
      </w:pPr>
      <w:r>
        <w:rPr>
          <w:rFonts w:ascii="Arial" w:hAnsi="Arial" w:cs="Arial"/>
        </w:rPr>
        <w:t>This office produces three documents available for public inspection.</w:t>
      </w:r>
    </w:p>
    <w:p w14:paraId="7FA27B14" w14:textId="77777777" w:rsidR="00FC1B24" w:rsidRDefault="00FC1B24">
      <w:pPr>
        <w:jc w:val="both"/>
        <w:rPr>
          <w:rFonts w:ascii="Arial" w:hAnsi="Arial" w:cs="Arial"/>
        </w:rPr>
      </w:pPr>
    </w:p>
    <w:p w14:paraId="1758A3D5" w14:textId="77777777" w:rsidR="00FC1B24" w:rsidRDefault="007763D2">
      <w:pPr>
        <w:jc w:val="both"/>
        <w:rPr>
          <w:rFonts w:ascii="Arial" w:hAnsi="Arial" w:cs="Arial"/>
        </w:rPr>
      </w:pPr>
      <w:r>
        <w:rPr>
          <w:rFonts w:ascii="Arial" w:hAnsi="Arial" w:cs="Arial"/>
        </w:rPr>
        <w:t>These are the Valuation Roll; the Council Tax List, and the Electoral Register, all in respect of the area covered by The Highland Council and Comhairle nan Eilean Siar.</w:t>
      </w:r>
    </w:p>
    <w:p w14:paraId="3E91D5B5" w14:textId="77777777" w:rsidR="00FC1B24" w:rsidRDefault="00FC1B24">
      <w:pPr>
        <w:jc w:val="both"/>
        <w:rPr>
          <w:rFonts w:ascii="Arial" w:hAnsi="Arial" w:cs="Arial"/>
        </w:rPr>
      </w:pPr>
    </w:p>
    <w:p w14:paraId="7BC0447C" w14:textId="77777777" w:rsidR="00FC1B24" w:rsidRDefault="007763D2">
      <w:pPr>
        <w:jc w:val="both"/>
        <w:rPr>
          <w:rFonts w:ascii="Arial" w:hAnsi="Arial" w:cs="Arial"/>
        </w:rPr>
      </w:pPr>
      <w:r>
        <w:rPr>
          <w:rFonts w:ascii="Arial" w:hAnsi="Arial" w:cs="Arial"/>
        </w:rPr>
        <w:t xml:space="preserve">The Open Register is an extract of the electoral register, but it is not used for elections.  The Open Register is available for sale to any person at prices prescribed in law as follows:  </w:t>
      </w:r>
    </w:p>
    <w:p w14:paraId="1A10510B" w14:textId="77777777" w:rsidR="00FC1B24" w:rsidRDefault="00FC1B24">
      <w:pPr>
        <w:jc w:val="both"/>
        <w:rPr>
          <w:rFonts w:ascii="Arial" w:hAnsi="Arial" w:cs="Arial"/>
        </w:rPr>
      </w:pPr>
    </w:p>
    <w:p w14:paraId="7F01E08B" w14:textId="77777777" w:rsidR="00FC1B24" w:rsidRDefault="007763D2">
      <w:pPr>
        <w:jc w:val="both"/>
        <w:rPr>
          <w:rFonts w:ascii="Arial" w:hAnsi="Arial" w:cs="Arial"/>
        </w:rPr>
      </w:pPr>
      <w:r>
        <w:rPr>
          <w:rFonts w:ascii="Arial" w:hAnsi="Arial" w:cs="Arial"/>
        </w:rPr>
        <w:t>Data at £20 plus £1.50 per 1,000 or part 1,000 names.</w:t>
      </w:r>
    </w:p>
    <w:p w14:paraId="061034A1" w14:textId="77777777" w:rsidR="00FC1B24" w:rsidRDefault="007763D2">
      <w:pPr>
        <w:jc w:val="both"/>
        <w:rPr>
          <w:rFonts w:ascii="Arial" w:hAnsi="Arial" w:cs="Arial"/>
        </w:rPr>
      </w:pPr>
      <w:r>
        <w:rPr>
          <w:rFonts w:ascii="Arial" w:hAnsi="Arial" w:cs="Arial"/>
        </w:rPr>
        <w:t>Printed at £10 plus £5 per 1,000 or part 1,000 names.</w:t>
      </w:r>
    </w:p>
    <w:p w14:paraId="36BFA8FB" w14:textId="77777777" w:rsidR="00FC1B24" w:rsidRDefault="00FC1B24">
      <w:pPr>
        <w:jc w:val="both"/>
        <w:rPr>
          <w:rFonts w:ascii="Arial" w:hAnsi="Arial" w:cs="Arial"/>
        </w:rPr>
      </w:pPr>
    </w:p>
    <w:p w14:paraId="71C26A44" w14:textId="77777777" w:rsidR="00FC1B24" w:rsidRDefault="007763D2">
      <w:pPr>
        <w:jc w:val="both"/>
        <w:rPr>
          <w:rFonts w:ascii="Arial" w:hAnsi="Arial" w:cs="Arial"/>
        </w:rPr>
      </w:pPr>
      <w:r>
        <w:rPr>
          <w:rFonts w:ascii="Arial" w:hAnsi="Arial" w:cs="Arial"/>
        </w:rPr>
        <w:t>Apart from the Open Register, this office is also able to provide certain other productions for which a charge has been calculated to cover staff time and material resources.  These are as follows:</w:t>
      </w:r>
    </w:p>
    <w:p w14:paraId="4A739EAD" w14:textId="77777777" w:rsidR="00FC1B24" w:rsidRDefault="00FC1B24">
      <w:pPr>
        <w:jc w:val="both"/>
        <w:rPr>
          <w:b/>
          <w:sz w:val="28"/>
          <w:szCs w:val="28"/>
        </w:rPr>
      </w:pPr>
    </w:p>
    <w:tbl>
      <w:tblPr>
        <w:tblStyle w:val="TableGrid"/>
        <w:tblW w:w="0" w:type="auto"/>
        <w:tblInd w:w="108" w:type="dxa"/>
        <w:tblLook w:val="04A0" w:firstRow="1" w:lastRow="0" w:firstColumn="1" w:lastColumn="0" w:noHBand="0" w:noVBand="1"/>
      </w:tblPr>
      <w:tblGrid>
        <w:gridCol w:w="2908"/>
        <w:gridCol w:w="2337"/>
        <w:gridCol w:w="3827"/>
      </w:tblGrid>
      <w:tr w:rsidR="00FC1B24" w14:paraId="0C6DE0AE" w14:textId="77777777" w:rsidTr="00703813">
        <w:tc>
          <w:tcPr>
            <w:tcW w:w="2908" w:type="dxa"/>
          </w:tcPr>
          <w:p w14:paraId="509B22F2" w14:textId="77777777" w:rsidR="00FC1B24" w:rsidRDefault="007763D2">
            <w:pPr>
              <w:pStyle w:val="NoSpacing"/>
              <w:spacing w:before="120" w:after="120"/>
              <w:jc w:val="center"/>
              <w:rPr>
                <w:rFonts w:ascii="Arial" w:hAnsi="Arial" w:cs="Arial"/>
                <w:sz w:val="24"/>
                <w:szCs w:val="24"/>
              </w:rPr>
            </w:pPr>
            <w:r>
              <w:rPr>
                <w:rFonts w:ascii="Arial" w:hAnsi="Arial" w:cs="Arial"/>
                <w:sz w:val="24"/>
                <w:szCs w:val="24"/>
              </w:rPr>
              <w:t>Service</w:t>
            </w:r>
          </w:p>
        </w:tc>
        <w:tc>
          <w:tcPr>
            <w:tcW w:w="2337" w:type="dxa"/>
          </w:tcPr>
          <w:p w14:paraId="6A987E6B" w14:textId="77777777" w:rsidR="00FC1B24" w:rsidRDefault="007763D2">
            <w:pPr>
              <w:pStyle w:val="NoSpacing"/>
              <w:spacing w:before="120" w:after="120"/>
              <w:jc w:val="center"/>
              <w:rPr>
                <w:rFonts w:ascii="Arial" w:hAnsi="Arial" w:cs="Arial"/>
                <w:sz w:val="24"/>
                <w:szCs w:val="24"/>
              </w:rPr>
            </w:pPr>
            <w:r>
              <w:rPr>
                <w:rFonts w:ascii="Arial" w:hAnsi="Arial" w:cs="Arial"/>
                <w:sz w:val="24"/>
                <w:szCs w:val="24"/>
              </w:rPr>
              <w:t>Method</w:t>
            </w:r>
          </w:p>
        </w:tc>
        <w:tc>
          <w:tcPr>
            <w:tcW w:w="3827" w:type="dxa"/>
          </w:tcPr>
          <w:p w14:paraId="7736CD46" w14:textId="77777777" w:rsidR="00FC1B24" w:rsidRDefault="007763D2">
            <w:pPr>
              <w:pStyle w:val="NoSpacing"/>
              <w:spacing w:before="120" w:after="120"/>
              <w:jc w:val="center"/>
              <w:rPr>
                <w:rFonts w:ascii="Arial" w:hAnsi="Arial" w:cs="Arial"/>
                <w:sz w:val="24"/>
                <w:szCs w:val="24"/>
              </w:rPr>
            </w:pPr>
            <w:r>
              <w:rPr>
                <w:rFonts w:ascii="Arial" w:hAnsi="Arial" w:cs="Arial"/>
                <w:sz w:val="24"/>
                <w:szCs w:val="24"/>
              </w:rPr>
              <w:t>Charge</w:t>
            </w:r>
          </w:p>
        </w:tc>
      </w:tr>
      <w:tr w:rsidR="00FC1B24" w14:paraId="4A1DB7FD" w14:textId="77777777" w:rsidTr="00703813">
        <w:tc>
          <w:tcPr>
            <w:tcW w:w="2908" w:type="dxa"/>
            <w:vMerge w:val="restart"/>
          </w:tcPr>
          <w:p w14:paraId="6E513C90" w14:textId="77777777" w:rsidR="00FC1B24" w:rsidRDefault="007763D2">
            <w:pPr>
              <w:pStyle w:val="NoSpacing"/>
              <w:spacing w:before="120" w:after="120"/>
              <w:rPr>
                <w:rFonts w:ascii="Arial" w:hAnsi="Arial" w:cs="Arial"/>
                <w:sz w:val="24"/>
                <w:szCs w:val="24"/>
              </w:rPr>
            </w:pPr>
            <w:r>
              <w:rPr>
                <w:rFonts w:ascii="Arial" w:hAnsi="Arial" w:cs="Arial"/>
                <w:sz w:val="24"/>
                <w:szCs w:val="24"/>
              </w:rPr>
              <w:t>Supply of Valuation Roll data</w:t>
            </w:r>
          </w:p>
        </w:tc>
        <w:tc>
          <w:tcPr>
            <w:tcW w:w="2337" w:type="dxa"/>
          </w:tcPr>
          <w:p w14:paraId="3D8D59D9" w14:textId="77777777" w:rsidR="00FC1B24" w:rsidRDefault="007763D2">
            <w:pPr>
              <w:pStyle w:val="NoSpacing"/>
              <w:spacing w:before="120" w:after="120"/>
              <w:rPr>
                <w:rFonts w:ascii="Arial" w:hAnsi="Arial" w:cs="Arial"/>
                <w:sz w:val="24"/>
                <w:szCs w:val="24"/>
              </w:rPr>
            </w:pPr>
            <w:r>
              <w:rPr>
                <w:rFonts w:ascii="Arial" w:hAnsi="Arial" w:cs="Arial"/>
                <w:sz w:val="24"/>
                <w:szCs w:val="24"/>
              </w:rPr>
              <w:t>Photocopies (single/small numbers of pages)</w:t>
            </w:r>
          </w:p>
        </w:tc>
        <w:tc>
          <w:tcPr>
            <w:tcW w:w="3827" w:type="dxa"/>
          </w:tcPr>
          <w:p w14:paraId="72BCA548" w14:textId="77777777" w:rsidR="00FC1B24" w:rsidRDefault="007763D2">
            <w:pPr>
              <w:pStyle w:val="NoSpacing"/>
              <w:spacing w:before="120" w:after="120"/>
              <w:rPr>
                <w:rFonts w:ascii="Arial" w:hAnsi="Arial" w:cs="Arial"/>
                <w:sz w:val="24"/>
                <w:szCs w:val="24"/>
              </w:rPr>
            </w:pPr>
            <w:r>
              <w:rPr>
                <w:rFonts w:ascii="Arial" w:hAnsi="Arial" w:cs="Arial"/>
                <w:sz w:val="24"/>
                <w:szCs w:val="24"/>
              </w:rPr>
              <w:t>10p per single side</w:t>
            </w:r>
          </w:p>
        </w:tc>
      </w:tr>
      <w:tr w:rsidR="00FC1B24" w14:paraId="2ED4CD5A" w14:textId="77777777" w:rsidTr="00703813">
        <w:tc>
          <w:tcPr>
            <w:tcW w:w="2908" w:type="dxa"/>
            <w:vMerge/>
          </w:tcPr>
          <w:p w14:paraId="71283010" w14:textId="77777777" w:rsidR="00FC1B24" w:rsidRDefault="00FC1B24">
            <w:pPr>
              <w:pStyle w:val="NoSpacing"/>
              <w:spacing w:before="120" w:after="120"/>
              <w:rPr>
                <w:rFonts w:ascii="Arial" w:hAnsi="Arial" w:cs="Arial"/>
                <w:sz w:val="24"/>
                <w:szCs w:val="24"/>
              </w:rPr>
            </w:pPr>
          </w:p>
        </w:tc>
        <w:tc>
          <w:tcPr>
            <w:tcW w:w="2337" w:type="dxa"/>
          </w:tcPr>
          <w:p w14:paraId="2DC8B6C5" w14:textId="77777777" w:rsidR="00FC1B24" w:rsidRDefault="007763D2">
            <w:pPr>
              <w:pStyle w:val="NoSpacing"/>
              <w:spacing w:before="120" w:after="120"/>
              <w:rPr>
                <w:rFonts w:ascii="Arial" w:hAnsi="Arial" w:cs="Arial"/>
                <w:sz w:val="24"/>
                <w:szCs w:val="24"/>
              </w:rPr>
            </w:pPr>
            <w:r>
              <w:rPr>
                <w:rFonts w:ascii="Arial" w:hAnsi="Arial" w:cs="Arial"/>
                <w:sz w:val="24"/>
                <w:szCs w:val="24"/>
              </w:rPr>
              <w:t>Printed</w:t>
            </w:r>
          </w:p>
        </w:tc>
        <w:tc>
          <w:tcPr>
            <w:tcW w:w="3827" w:type="dxa"/>
          </w:tcPr>
          <w:p w14:paraId="08187F35" w14:textId="77777777" w:rsidR="00FC1B24" w:rsidRDefault="007763D2">
            <w:pPr>
              <w:pStyle w:val="NoSpacing"/>
              <w:spacing w:before="120" w:after="120"/>
              <w:rPr>
                <w:rFonts w:ascii="Arial" w:hAnsi="Arial" w:cs="Arial"/>
                <w:sz w:val="24"/>
                <w:szCs w:val="24"/>
              </w:rPr>
            </w:pPr>
            <w:r>
              <w:rPr>
                <w:rFonts w:ascii="Arial" w:hAnsi="Arial" w:cs="Arial"/>
                <w:sz w:val="24"/>
                <w:szCs w:val="24"/>
              </w:rPr>
              <w:t>£60 per local authority area</w:t>
            </w:r>
          </w:p>
        </w:tc>
      </w:tr>
      <w:tr w:rsidR="00FC1B24" w14:paraId="4666B40A" w14:textId="77777777" w:rsidTr="00703813">
        <w:tc>
          <w:tcPr>
            <w:tcW w:w="2908" w:type="dxa"/>
            <w:vMerge/>
          </w:tcPr>
          <w:p w14:paraId="34D6B8E8" w14:textId="77777777" w:rsidR="00FC1B24" w:rsidRDefault="00FC1B24">
            <w:pPr>
              <w:pStyle w:val="NoSpacing"/>
              <w:spacing w:before="120" w:after="120"/>
              <w:rPr>
                <w:rFonts w:ascii="Arial" w:hAnsi="Arial" w:cs="Arial"/>
                <w:sz w:val="24"/>
                <w:szCs w:val="24"/>
              </w:rPr>
            </w:pPr>
          </w:p>
        </w:tc>
        <w:tc>
          <w:tcPr>
            <w:tcW w:w="2337" w:type="dxa"/>
          </w:tcPr>
          <w:p w14:paraId="2C807380" w14:textId="77777777" w:rsidR="00FC1B24" w:rsidRDefault="007763D2">
            <w:pPr>
              <w:pStyle w:val="NoSpacing"/>
              <w:spacing w:before="120" w:after="120"/>
              <w:rPr>
                <w:rFonts w:ascii="Arial" w:hAnsi="Arial" w:cs="Arial"/>
                <w:sz w:val="24"/>
                <w:szCs w:val="24"/>
              </w:rPr>
            </w:pPr>
            <w:r>
              <w:rPr>
                <w:rFonts w:ascii="Arial" w:hAnsi="Arial" w:cs="Arial"/>
                <w:sz w:val="24"/>
                <w:szCs w:val="24"/>
              </w:rPr>
              <w:t>Electronic</w:t>
            </w:r>
          </w:p>
        </w:tc>
        <w:tc>
          <w:tcPr>
            <w:tcW w:w="3827" w:type="dxa"/>
          </w:tcPr>
          <w:p w14:paraId="56DBB975" w14:textId="525934AB" w:rsidR="00FC1B24" w:rsidRDefault="007763D2">
            <w:pPr>
              <w:pStyle w:val="NoSpacing"/>
              <w:spacing w:before="120" w:after="120"/>
              <w:rPr>
                <w:rFonts w:ascii="Arial" w:hAnsi="Arial" w:cs="Arial"/>
                <w:sz w:val="24"/>
                <w:szCs w:val="24"/>
              </w:rPr>
            </w:pPr>
            <w:r>
              <w:rPr>
                <w:rFonts w:ascii="Arial" w:hAnsi="Arial" w:cs="Arial"/>
                <w:sz w:val="24"/>
                <w:szCs w:val="24"/>
              </w:rPr>
              <w:t>£</w:t>
            </w:r>
            <w:r w:rsidR="004C2A17">
              <w:rPr>
                <w:rFonts w:ascii="Arial" w:hAnsi="Arial" w:cs="Arial"/>
                <w:sz w:val="24"/>
                <w:szCs w:val="24"/>
              </w:rPr>
              <w:t>100</w:t>
            </w:r>
            <w:r>
              <w:rPr>
                <w:rFonts w:ascii="Arial" w:hAnsi="Arial" w:cs="Arial"/>
                <w:sz w:val="24"/>
                <w:szCs w:val="24"/>
              </w:rPr>
              <w:t xml:space="preserve"> per extract</w:t>
            </w:r>
          </w:p>
        </w:tc>
      </w:tr>
      <w:tr w:rsidR="00FC1B24" w14:paraId="229C7BF2" w14:textId="77777777" w:rsidTr="00703813">
        <w:tc>
          <w:tcPr>
            <w:tcW w:w="2908" w:type="dxa"/>
            <w:vMerge w:val="restart"/>
          </w:tcPr>
          <w:p w14:paraId="6D15CB1B" w14:textId="77777777" w:rsidR="00FC1B24" w:rsidRDefault="007763D2">
            <w:pPr>
              <w:pStyle w:val="NoSpacing"/>
              <w:spacing w:before="120" w:after="120"/>
              <w:rPr>
                <w:rFonts w:ascii="Arial" w:hAnsi="Arial" w:cs="Arial"/>
                <w:sz w:val="24"/>
                <w:szCs w:val="24"/>
              </w:rPr>
            </w:pPr>
            <w:r>
              <w:rPr>
                <w:rFonts w:ascii="Arial" w:hAnsi="Arial" w:cs="Arial"/>
                <w:sz w:val="24"/>
                <w:szCs w:val="24"/>
              </w:rPr>
              <w:t>Supply of Council Tax lists</w:t>
            </w:r>
          </w:p>
        </w:tc>
        <w:tc>
          <w:tcPr>
            <w:tcW w:w="2337" w:type="dxa"/>
          </w:tcPr>
          <w:p w14:paraId="781DC517" w14:textId="77777777" w:rsidR="00FC1B24" w:rsidRDefault="007763D2">
            <w:pPr>
              <w:pStyle w:val="NoSpacing"/>
              <w:spacing w:before="120" w:after="120"/>
              <w:rPr>
                <w:rFonts w:ascii="Arial" w:hAnsi="Arial" w:cs="Arial"/>
                <w:sz w:val="24"/>
                <w:szCs w:val="24"/>
              </w:rPr>
            </w:pPr>
            <w:r>
              <w:rPr>
                <w:rFonts w:ascii="Arial" w:hAnsi="Arial" w:cs="Arial"/>
                <w:sz w:val="24"/>
                <w:szCs w:val="24"/>
              </w:rPr>
              <w:t>Photocopies</w:t>
            </w:r>
          </w:p>
        </w:tc>
        <w:tc>
          <w:tcPr>
            <w:tcW w:w="3827" w:type="dxa"/>
          </w:tcPr>
          <w:p w14:paraId="291EEDFB" w14:textId="77777777" w:rsidR="00FC1B24" w:rsidRDefault="007763D2">
            <w:pPr>
              <w:pStyle w:val="NoSpacing"/>
              <w:spacing w:before="120" w:after="120"/>
              <w:rPr>
                <w:rFonts w:ascii="Arial" w:hAnsi="Arial" w:cs="Arial"/>
                <w:sz w:val="24"/>
                <w:szCs w:val="24"/>
              </w:rPr>
            </w:pPr>
            <w:r>
              <w:rPr>
                <w:rFonts w:ascii="Arial" w:hAnsi="Arial" w:cs="Arial"/>
                <w:sz w:val="24"/>
                <w:szCs w:val="24"/>
              </w:rPr>
              <w:t>10p per single side</w:t>
            </w:r>
          </w:p>
        </w:tc>
      </w:tr>
      <w:tr w:rsidR="00FC1B24" w14:paraId="0376D6B6" w14:textId="77777777" w:rsidTr="00703813">
        <w:tc>
          <w:tcPr>
            <w:tcW w:w="2908" w:type="dxa"/>
            <w:vMerge/>
          </w:tcPr>
          <w:p w14:paraId="684BAA82" w14:textId="77777777" w:rsidR="00FC1B24" w:rsidRDefault="00FC1B24">
            <w:pPr>
              <w:pStyle w:val="NoSpacing"/>
              <w:spacing w:before="120" w:after="120"/>
              <w:rPr>
                <w:rFonts w:ascii="Arial" w:hAnsi="Arial" w:cs="Arial"/>
                <w:sz w:val="24"/>
                <w:szCs w:val="24"/>
              </w:rPr>
            </w:pPr>
          </w:p>
        </w:tc>
        <w:tc>
          <w:tcPr>
            <w:tcW w:w="2337" w:type="dxa"/>
          </w:tcPr>
          <w:p w14:paraId="39D934E3" w14:textId="77777777" w:rsidR="00FC1B24" w:rsidRDefault="007763D2">
            <w:pPr>
              <w:pStyle w:val="NoSpacing"/>
              <w:spacing w:before="120" w:after="120"/>
              <w:rPr>
                <w:rFonts w:ascii="Arial" w:hAnsi="Arial" w:cs="Arial"/>
                <w:sz w:val="24"/>
                <w:szCs w:val="24"/>
              </w:rPr>
            </w:pPr>
            <w:r>
              <w:rPr>
                <w:rFonts w:ascii="Arial" w:hAnsi="Arial" w:cs="Arial"/>
                <w:sz w:val="24"/>
                <w:szCs w:val="24"/>
              </w:rPr>
              <w:t>Printed</w:t>
            </w:r>
          </w:p>
        </w:tc>
        <w:tc>
          <w:tcPr>
            <w:tcW w:w="3827" w:type="dxa"/>
          </w:tcPr>
          <w:p w14:paraId="5CCEC560" w14:textId="77777777" w:rsidR="00FC1B24" w:rsidRDefault="007763D2">
            <w:pPr>
              <w:pStyle w:val="NoSpacing"/>
              <w:spacing w:before="120" w:after="120"/>
              <w:rPr>
                <w:rFonts w:ascii="Arial" w:hAnsi="Arial" w:cs="Arial"/>
                <w:sz w:val="24"/>
                <w:szCs w:val="24"/>
              </w:rPr>
            </w:pPr>
            <w:r>
              <w:rPr>
                <w:rFonts w:ascii="Arial" w:hAnsi="Arial" w:cs="Arial"/>
                <w:sz w:val="24"/>
                <w:szCs w:val="24"/>
              </w:rPr>
              <w:t>£75 per local authority area</w:t>
            </w:r>
          </w:p>
        </w:tc>
      </w:tr>
      <w:tr w:rsidR="00FC1B24" w14:paraId="16DBE1E1" w14:textId="77777777" w:rsidTr="00703813">
        <w:tc>
          <w:tcPr>
            <w:tcW w:w="2908" w:type="dxa"/>
            <w:vMerge/>
          </w:tcPr>
          <w:p w14:paraId="0117A7A3" w14:textId="77777777" w:rsidR="00FC1B24" w:rsidRDefault="00FC1B24">
            <w:pPr>
              <w:pStyle w:val="NoSpacing"/>
              <w:spacing w:before="120" w:after="120"/>
              <w:rPr>
                <w:rFonts w:ascii="Arial" w:hAnsi="Arial" w:cs="Arial"/>
                <w:sz w:val="24"/>
                <w:szCs w:val="24"/>
              </w:rPr>
            </w:pPr>
          </w:p>
        </w:tc>
        <w:tc>
          <w:tcPr>
            <w:tcW w:w="2337" w:type="dxa"/>
          </w:tcPr>
          <w:p w14:paraId="0386CF71" w14:textId="77777777" w:rsidR="00FC1B24" w:rsidRDefault="007763D2">
            <w:pPr>
              <w:pStyle w:val="NoSpacing"/>
              <w:spacing w:before="120" w:after="120"/>
              <w:rPr>
                <w:rFonts w:ascii="Arial" w:hAnsi="Arial" w:cs="Arial"/>
                <w:sz w:val="24"/>
                <w:szCs w:val="24"/>
              </w:rPr>
            </w:pPr>
            <w:r>
              <w:rPr>
                <w:rFonts w:ascii="Arial" w:hAnsi="Arial" w:cs="Arial"/>
                <w:sz w:val="24"/>
                <w:szCs w:val="24"/>
              </w:rPr>
              <w:t>Electronic</w:t>
            </w:r>
          </w:p>
        </w:tc>
        <w:tc>
          <w:tcPr>
            <w:tcW w:w="3827" w:type="dxa"/>
          </w:tcPr>
          <w:p w14:paraId="65D0D081" w14:textId="14A67CF1" w:rsidR="00FC1B24" w:rsidRDefault="007763D2">
            <w:pPr>
              <w:pStyle w:val="NoSpacing"/>
              <w:spacing w:before="120" w:after="120"/>
              <w:rPr>
                <w:rFonts w:ascii="Arial" w:hAnsi="Arial" w:cs="Arial"/>
                <w:sz w:val="24"/>
                <w:szCs w:val="24"/>
              </w:rPr>
            </w:pPr>
            <w:r>
              <w:rPr>
                <w:rFonts w:ascii="Arial" w:hAnsi="Arial" w:cs="Arial"/>
                <w:sz w:val="24"/>
                <w:szCs w:val="24"/>
              </w:rPr>
              <w:t>£</w:t>
            </w:r>
            <w:r w:rsidR="004C2A17">
              <w:rPr>
                <w:rFonts w:ascii="Arial" w:hAnsi="Arial" w:cs="Arial"/>
                <w:sz w:val="24"/>
                <w:szCs w:val="24"/>
              </w:rPr>
              <w:t>100</w:t>
            </w:r>
            <w:r>
              <w:rPr>
                <w:rFonts w:ascii="Arial" w:hAnsi="Arial" w:cs="Arial"/>
                <w:sz w:val="24"/>
                <w:szCs w:val="24"/>
              </w:rPr>
              <w:t xml:space="preserve"> per extract</w:t>
            </w:r>
          </w:p>
        </w:tc>
      </w:tr>
      <w:tr w:rsidR="00FC1B24" w14:paraId="448E32FF" w14:textId="77777777" w:rsidTr="00703813">
        <w:trPr>
          <w:trHeight w:val="859"/>
        </w:trPr>
        <w:tc>
          <w:tcPr>
            <w:tcW w:w="2908" w:type="dxa"/>
          </w:tcPr>
          <w:p w14:paraId="0C753661" w14:textId="77777777" w:rsidR="00FC1B24" w:rsidRDefault="007763D2">
            <w:pPr>
              <w:pStyle w:val="NoSpacing"/>
              <w:spacing w:before="120" w:after="120"/>
              <w:rPr>
                <w:rFonts w:ascii="Arial" w:hAnsi="Arial" w:cs="Arial"/>
                <w:sz w:val="24"/>
                <w:szCs w:val="24"/>
              </w:rPr>
            </w:pPr>
            <w:r>
              <w:rPr>
                <w:rFonts w:ascii="Arial" w:hAnsi="Arial" w:cs="Arial"/>
                <w:sz w:val="24"/>
                <w:szCs w:val="24"/>
              </w:rPr>
              <w:t>1989 RV Certification</w:t>
            </w:r>
          </w:p>
        </w:tc>
        <w:tc>
          <w:tcPr>
            <w:tcW w:w="2337" w:type="dxa"/>
          </w:tcPr>
          <w:p w14:paraId="07B3DF37" w14:textId="77777777" w:rsidR="00FC1B24" w:rsidRDefault="007763D2">
            <w:pPr>
              <w:pStyle w:val="NoSpacing"/>
              <w:spacing w:before="120" w:after="120"/>
              <w:rPr>
                <w:rFonts w:ascii="Arial" w:hAnsi="Arial" w:cs="Arial"/>
                <w:sz w:val="24"/>
                <w:szCs w:val="24"/>
              </w:rPr>
            </w:pPr>
            <w:r>
              <w:rPr>
                <w:rFonts w:ascii="Arial" w:hAnsi="Arial" w:cs="Arial"/>
                <w:sz w:val="24"/>
                <w:szCs w:val="24"/>
              </w:rPr>
              <w:t>If inspection/ calculation required</w:t>
            </w:r>
          </w:p>
        </w:tc>
        <w:tc>
          <w:tcPr>
            <w:tcW w:w="3827" w:type="dxa"/>
          </w:tcPr>
          <w:p w14:paraId="1A86E865" w14:textId="77777777" w:rsidR="00FC1B24" w:rsidRDefault="007763D2">
            <w:pPr>
              <w:pStyle w:val="NoSpacing"/>
              <w:spacing w:before="120" w:after="120"/>
              <w:rPr>
                <w:rFonts w:ascii="Arial" w:hAnsi="Arial" w:cs="Arial"/>
                <w:sz w:val="24"/>
                <w:szCs w:val="24"/>
              </w:rPr>
            </w:pPr>
            <w:r>
              <w:rPr>
                <w:rFonts w:ascii="Arial" w:hAnsi="Arial" w:cs="Arial"/>
                <w:sz w:val="24"/>
                <w:szCs w:val="24"/>
              </w:rPr>
              <w:t>£100 per entry</w:t>
            </w:r>
          </w:p>
        </w:tc>
      </w:tr>
      <w:tr w:rsidR="00FC1B24" w14:paraId="5C081D62" w14:textId="77777777" w:rsidTr="00703813">
        <w:tc>
          <w:tcPr>
            <w:tcW w:w="2908" w:type="dxa"/>
          </w:tcPr>
          <w:p w14:paraId="1E474558" w14:textId="77777777" w:rsidR="00FC1B24" w:rsidRDefault="007763D2">
            <w:pPr>
              <w:pStyle w:val="NoSpacing"/>
              <w:spacing w:before="120" w:after="120"/>
              <w:rPr>
                <w:rFonts w:ascii="Arial" w:hAnsi="Arial" w:cs="Arial"/>
                <w:sz w:val="24"/>
                <w:szCs w:val="24"/>
              </w:rPr>
            </w:pPr>
            <w:r>
              <w:rPr>
                <w:rFonts w:ascii="Arial" w:hAnsi="Arial" w:cs="Arial"/>
                <w:sz w:val="24"/>
                <w:szCs w:val="24"/>
              </w:rPr>
              <w:t>Searches/Enquiries</w:t>
            </w:r>
          </w:p>
        </w:tc>
        <w:tc>
          <w:tcPr>
            <w:tcW w:w="2337" w:type="dxa"/>
          </w:tcPr>
          <w:p w14:paraId="2F3BF93E" w14:textId="77777777" w:rsidR="00FC1B24" w:rsidRDefault="00FC1B24">
            <w:pPr>
              <w:pStyle w:val="NoSpacing"/>
              <w:spacing w:before="120" w:after="120"/>
              <w:rPr>
                <w:rFonts w:ascii="Arial" w:hAnsi="Arial" w:cs="Arial"/>
                <w:sz w:val="24"/>
                <w:szCs w:val="24"/>
              </w:rPr>
            </w:pPr>
          </w:p>
        </w:tc>
        <w:tc>
          <w:tcPr>
            <w:tcW w:w="3827" w:type="dxa"/>
          </w:tcPr>
          <w:p w14:paraId="2AD582D0" w14:textId="77777777" w:rsidR="00FC1B24" w:rsidRDefault="007763D2">
            <w:pPr>
              <w:pStyle w:val="NoSpacing"/>
              <w:spacing w:before="120" w:after="120"/>
              <w:rPr>
                <w:rFonts w:ascii="Arial" w:hAnsi="Arial" w:cs="Arial"/>
                <w:sz w:val="24"/>
                <w:szCs w:val="24"/>
              </w:rPr>
            </w:pPr>
            <w:r>
              <w:rPr>
                <w:rFonts w:ascii="Arial" w:hAnsi="Arial" w:cs="Arial"/>
                <w:sz w:val="24"/>
                <w:szCs w:val="24"/>
              </w:rPr>
              <w:t>No charge</w:t>
            </w:r>
          </w:p>
        </w:tc>
      </w:tr>
    </w:tbl>
    <w:p w14:paraId="3E5C1ECE" w14:textId="77777777" w:rsidR="00FC1B24" w:rsidRDefault="00FC1B24">
      <w:pPr>
        <w:jc w:val="both"/>
        <w:rPr>
          <w:b/>
          <w:sz w:val="28"/>
          <w:szCs w:val="28"/>
        </w:rPr>
      </w:pPr>
    </w:p>
    <w:p w14:paraId="6F169562" w14:textId="77777777" w:rsidR="00FC1B24" w:rsidRDefault="007763D2">
      <w:pPr>
        <w:pStyle w:val="NoSpacing"/>
        <w:jc w:val="center"/>
        <w:rPr>
          <w:rFonts w:ascii="Arial" w:hAnsi="Arial" w:cs="Arial"/>
          <w:b/>
          <w:sz w:val="24"/>
          <w:szCs w:val="24"/>
          <w:u w:val="single"/>
        </w:rPr>
      </w:pPr>
      <w:r>
        <w:rPr>
          <w:rFonts w:ascii="Arial" w:hAnsi="Arial" w:cs="Arial"/>
          <w:b/>
          <w:sz w:val="24"/>
          <w:szCs w:val="24"/>
          <w:u w:val="single"/>
        </w:rPr>
        <w:t>All charges are plus postage where appropriate</w:t>
      </w:r>
    </w:p>
    <w:p w14:paraId="793B6393" w14:textId="77777777" w:rsidR="00FC1B24" w:rsidRDefault="00FC1B24">
      <w:pPr>
        <w:jc w:val="both"/>
        <w:rPr>
          <w:rFonts w:ascii="Arial" w:hAnsi="Arial" w:cs="Arial"/>
        </w:rPr>
      </w:pPr>
    </w:p>
    <w:p w14:paraId="7667F6F5" w14:textId="13FB3E9E" w:rsidR="00FC1B24" w:rsidRDefault="007763D2">
      <w:pPr>
        <w:jc w:val="both"/>
        <w:rPr>
          <w:rFonts w:ascii="Arial" w:hAnsi="Arial" w:cs="Arial"/>
        </w:rPr>
      </w:pPr>
      <w:r>
        <w:rPr>
          <w:rFonts w:ascii="Arial" w:hAnsi="Arial" w:cs="Arial"/>
        </w:rPr>
        <w:t>Frank W Finlayson</w:t>
      </w:r>
    </w:p>
    <w:p w14:paraId="0D7A1F40" w14:textId="776F1829" w:rsidR="00FC1B24" w:rsidRDefault="007763D2">
      <w:pPr>
        <w:jc w:val="both"/>
        <w:rPr>
          <w:rFonts w:ascii="Arial" w:hAnsi="Arial" w:cs="Arial"/>
        </w:rPr>
      </w:pPr>
      <w:r>
        <w:rPr>
          <w:rFonts w:ascii="Arial" w:hAnsi="Arial" w:cs="Arial"/>
        </w:rPr>
        <w:t>Assessor &amp; Electoral Registration Officer</w:t>
      </w:r>
    </w:p>
    <w:p w14:paraId="210D92AC" w14:textId="77777777" w:rsidR="00FC1B24" w:rsidRDefault="007763D2">
      <w:pPr>
        <w:jc w:val="both"/>
        <w:rPr>
          <w:rFonts w:ascii="Arial" w:hAnsi="Arial" w:cs="Arial"/>
        </w:rPr>
      </w:pPr>
      <w:r>
        <w:rPr>
          <w:rFonts w:ascii="Arial" w:hAnsi="Arial" w:cs="Arial"/>
        </w:rPr>
        <w:t>Moray House</w:t>
      </w:r>
    </w:p>
    <w:p w14:paraId="20C0A1B5" w14:textId="77777777" w:rsidR="00FC1B24" w:rsidRDefault="007763D2">
      <w:pPr>
        <w:jc w:val="both"/>
        <w:rPr>
          <w:rFonts w:ascii="Arial" w:hAnsi="Arial" w:cs="Arial"/>
        </w:rPr>
      </w:pPr>
      <w:r>
        <w:rPr>
          <w:rFonts w:ascii="Arial" w:hAnsi="Arial" w:cs="Arial"/>
        </w:rPr>
        <w:t>16-18 Bank Street</w:t>
      </w:r>
    </w:p>
    <w:p w14:paraId="190872B3" w14:textId="77777777" w:rsidR="00FC1B24" w:rsidRDefault="007763D2">
      <w:pPr>
        <w:jc w:val="both"/>
        <w:rPr>
          <w:rFonts w:ascii="Arial" w:hAnsi="Arial" w:cs="Arial"/>
        </w:rPr>
      </w:pPr>
      <w:r>
        <w:rPr>
          <w:rFonts w:ascii="Arial" w:hAnsi="Arial" w:cs="Arial"/>
        </w:rPr>
        <w:t xml:space="preserve">INVERNESS </w:t>
      </w:r>
    </w:p>
    <w:p w14:paraId="7424FD9D" w14:textId="77777777" w:rsidR="00FC1B24" w:rsidRDefault="007763D2">
      <w:pPr>
        <w:jc w:val="both"/>
        <w:rPr>
          <w:rFonts w:ascii="Arial" w:hAnsi="Arial" w:cs="Arial"/>
        </w:rPr>
      </w:pPr>
      <w:r>
        <w:rPr>
          <w:rFonts w:ascii="Arial" w:hAnsi="Arial" w:cs="Arial"/>
        </w:rPr>
        <w:t>IV1 1QY</w:t>
      </w:r>
    </w:p>
    <w:p w14:paraId="649DE175" w14:textId="77777777" w:rsidR="00703813" w:rsidRDefault="00703813">
      <w:pPr>
        <w:jc w:val="both"/>
        <w:rPr>
          <w:rFonts w:ascii="Arial" w:hAnsi="Arial" w:cs="Arial"/>
        </w:rPr>
      </w:pPr>
    </w:p>
    <w:p w14:paraId="6C0AFD20" w14:textId="5A0B664A" w:rsidR="00703813" w:rsidRDefault="00703813" w:rsidP="00703813">
      <w:pPr>
        <w:jc w:val="both"/>
        <w:rPr>
          <w:rFonts w:ascii="Arial" w:hAnsi="Arial" w:cs="Arial"/>
        </w:rPr>
      </w:pPr>
      <w:r w:rsidRPr="00703813">
        <w:rPr>
          <w:rFonts w:ascii="Arial" w:hAnsi="Arial" w:cs="Arial"/>
        </w:rPr>
        <w:t>Electronic copies of the Valuation Roll and Council Tax Lists are available from the Portal Data Custodian at the office of the Assessor for Ayrshire Valuation Joint Board,</w:t>
      </w:r>
      <w:r w:rsidR="009D604E">
        <w:rPr>
          <w:rFonts w:ascii="Arial" w:hAnsi="Arial" w:cs="Arial"/>
        </w:rPr>
        <w:t xml:space="preserve"> </w:t>
      </w:r>
      <w:r w:rsidRPr="00703813">
        <w:rPr>
          <w:rFonts w:ascii="Arial" w:hAnsi="Arial" w:cs="Arial"/>
        </w:rPr>
        <w:t xml:space="preserve">9 Wellington Square, Ayr, KA7 1HL </w:t>
      </w:r>
    </w:p>
    <w:p w14:paraId="65D383DD" w14:textId="53825D3A" w:rsidR="00703813" w:rsidRDefault="00703813" w:rsidP="00703813">
      <w:pPr>
        <w:rPr>
          <w:rFonts w:ascii="Arial" w:hAnsi="Arial" w:cs="Arial"/>
        </w:rPr>
      </w:pPr>
      <w:r w:rsidRPr="00703813">
        <w:rPr>
          <w:rFonts w:ascii="Arial" w:hAnsi="Arial" w:cs="Arial"/>
        </w:rPr>
        <w:t xml:space="preserve">Tel: 01292 612221 </w:t>
      </w:r>
      <w:r>
        <w:rPr>
          <w:rFonts w:ascii="Arial" w:hAnsi="Arial" w:cs="Arial"/>
        </w:rPr>
        <w:t xml:space="preserve">                                                 E</w:t>
      </w:r>
      <w:r w:rsidRPr="00703813">
        <w:rPr>
          <w:rFonts w:ascii="Arial" w:hAnsi="Arial" w:cs="Arial"/>
        </w:rPr>
        <w:t xml:space="preserve">-mail: </w:t>
      </w:r>
      <w:hyperlink r:id="rId5" w:history="1">
        <w:r w:rsidRPr="00703813">
          <w:rPr>
            <w:rStyle w:val="Hyperlink"/>
            <w:rFonts w:ascii="Arial" w:hAnsi="Arial" w:cs="Arial"/>
            <w:color w:val="auto"/>
          </w:rPr>
          <w:t>datacustodian@saa.gov.uk</w:t>
        </w:r>
      </w:hyperlink>
    </w:p>
    <w:sectPr w:rsidR="00703813" w:rsidSect="00703813">
      <w:pgSz w:w="11906" w:h="16838" w:code="9"/>
      <w:pgMar w:top="1077" w:right="1416" w:bottom="907" w:left="1418" w:header="709" w:footer="624"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B24"/>
    <w:rsid w:val="00217E83"/>
    <w:rsid w:val="002D73B2"/>
    <w:rsid w:val="004C2A17"/>
    <w:rsid w:val="00703813"/>
    <w:rsid w:val="007763D2"/>
    <w:rsid w:val="009D604E"/>
    <w:rsid w:val="00E0600E"/>
    <w:rsid w:val="00FC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6021A"/>
  <w15:docId w15:val="{B49ABDD8-FD8E-4586-AB66-D4D355C9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38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8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tacustodian@sa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45B3-527D-4DCC-A004-4B516E06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Thomson</dc:creator>
  <cp:lastModifiedBy>Mandy Thomson (Valuation Joint Board)</cp:lastModifiedBy>
  <cp:revision>5</cp:revision>
  <cp:lastPrinted>2018-05-29T06:21:00Z</cp:lastPrinted>
  <dcterms:created xsi:type="dcterms:W3CDTF">2023-11-09T13:57:00Z</dcterms:created>
  <dcterms:modified xsi:type="dcterms:W3CDTF">2024-09-27T13:39:00Z</dcterms:modified>
</cp:coreProperties>
</file>