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C42D" w14:textId="7E75DA69" w:rsidR="001613FA" w:rsidRDefault="001613FA" w:rsidP="00113DE4">
      <w:pPr>
        <w:pStyle w:val="Titl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HIGHLAND &amp; WESTERN ISLES VALUATION JOINT BOARD</w:t>
      </w:r>
    </w:p>
    <w:p w14:paraId="785D45FC" w14:textId="77777777" w:rsidR="001613FA" w:rsidRDefault="001613FA" w:rsidP="00113DE4">
      <w:pPr>
        <w:pStyle w:val="Title"/>
        <w:rPr>
          <w:rFonts w:ascii="Arial" w:hAnsi="Arial" w:cs="Arial"/>
          <w:b/>
          <w:bCs/>
          <w:sz w:val="24"/>
          <w:szCs w:val="24"/>
        </w:rPr>
      </w:pPr>
    </w:p>
    <w:p w14:paraId="313F21D2" w14:textId="1F115E59" w:rsidR="00AD4386" w:rsidRPr="00113DE4" w:rsidRDefault="002B3E9A" w:rsidP="00113DE4">
      <w:pPr>
        <w:pStyle w:val="Title"/>
        <w:rPr>
          <w:rFonts w:ascii="Arial" w:hAnsi="Arial" w:cs="Arial"/>
          <w:b/>
          <w:bCs/>
          <w:sz w:val="24"/>
          <w:szCs w:val="24"/>
        </w:rPr>
      </w:pPr>
      <w:r w:rsidRPr="00113DE4">
        <w:rPr>
          <w:rFonts w:ascii="Arial" w:hAnsi="Arial" w:cs="Arial"/>
          <w:b/>
          <w:bCs/>
          <w:sz w:val="24"/>
          <w:szCs w:val="24"/>
        </w:rPr>
        <w:t>Annual Complaints Report</w:t>
      </w:r>
    </w:p>
    <w:p w14:paraId="5E2F0C05" w14:textId="640F8258" w:rsidR="00113DE4" w:rsidRPr="00C2724D" w:rsidRDefault="00113DE4" w:rsidP="00C2724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13DE4">
        <w:rPr>
          <w:rFonts w:ascii="Arial" w:hAnsi="Arial" w:cs="Arial"/>
          <w:b/>
          <w:bCs/>
          <w:sz w:val="24"/>
          <w:szCs w:val="24"/>
        </w:rPr>
        <w:t xml:space="preserve">1 </w:t>
      </w:r>
      <w:r w:rsidR="00C2724D">
        <w:rPr>
          <w:rFonts w:ascii="Arial" w:hAnsi="Arial" w:cs="Arial"/>
          <w:b/>
          <w:bCs/>
          <w:sz w:val="24"/>
          <w:szCs w:val="24"/>
        </w:rPr>
        <w:t>March</w:t>
      </w:r>
      <w:r w:rsidRPr="00113DE4">
        <w:rPr>
          <w:rFonts w:ascii="Arial" w:hAnsi="Arial" w:cs="Arial"/>
          <w:b/>
          <w:bCs/>
          <w:sz w:val="24"/>
          <w:szCs w:val="24"/>
        </w:rPr>
        <w:t xml:space="preserve"> 202</w:t>
      </w:r>
      <w:r w:rsidR="00C2724D">
        <w:rPr>
          <w:rFonts w:ascii="Arial" w:hAnsi="Arial" w:cs="Arial"/>
          <w:b/>
          <w:bCs/>
          <w:sz w:val="24"/>
          <w:szCs w:val="24"/>
        </w:rPr>
        <w:t>3</w:t>
      </w:r>
      <w:r w:rsidRPr="00113DE4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C2724D">
        <w:rPr>
          <w:rFonts w:ascii="Arial" w:hAnsi="Arial" w:cs="Arial"/>
          <w:b/>
          <w:bCs/>
          <w:sz w:val="24"/>
          <w:szCs w:val="24"/>
        </w:rPr>
        <w:t>29 February 2024</w:t>
      </w:r>
    </w:p>
    <w:p w14:paraId="11ABD15C" w14:textId="77777777" w:rsidR="00C2724D" w:rsidRDefault="00C2724D" w:rsidP="0014213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1AC36FBA" w14:textId="31C5F098" w:rsidR="00113DE4" w:rsidRPr="00113DE4" w:rsidRDefault="00113DE4" w:rsidP="0014213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13DE4">
        <w:rPr>
          <w:rFonts w:ascii="Arial" w:hAnsi="Arial" w:cs="Arial"/>
          <w:sz w:val="24"/>
          <w:szCs w:val="24"/>
          <w:u w:val="single"/>
        </w:rPr>
        <w:t>Background</w:t>
      </w:r>
    </w:p>
    <w:p w14:paraId="3ACA07B9" w14:textId="73970D09" w:rsidR="00113DE4" w:rsidRDefault="00113DE4" w:rsidP="00142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A1CC8D" w14:textId="708C8955" w:rsidR="00C61C64" w:rsidRDefault="00113DE4" w:rsidP="00C61C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3DE4">
        <w:rPr>
          <w:rFonts w:ascii="Arial" w:hAnsi="Arial" w:cs="Arial"/>
          <w:sz w:val="24"/>
          <w:szCs w:val="24"/>
        </w:rPr>
        <w:t xml:space="preserve">The Highland &amp; Western Isles Valuation Joint Board (HWIVJB) is committed to providing high-quality customer services and we value complaints and use information from them to help us improve our </w:t>
      </w:r>
      <w:r w:rsidRPr="00C61C64">
        <w:rPr>
          <w:rFonts w:ascii="Arial" w:hAnsi="Arial" w:cs="Arial"/>
          <w:sz w:val="24"/>
          <w:szCs w:val="24"/>
        </w:rPr>
        <w:t>services</w:t>
      </w:r>
      <w:r w:rsidR="0054063D" w:rsidRPr="00C61C64">
        <w:rPr>
          <w:rFonts w:ascii="Arial" w:hAnsi="Arial" w:cs="Arial"/>
          <w:sz w:val="24"/>
          <w:szCs w:val="24"/>
        </w:rPr>
        <w:t xml:space="preserve">. </w:t>
      </w:r>
      <w:r w:rsidRPr="00C61C64">
        <w:rPr>
          <w:rFonts w:ascii="Arial" w:hAnsi="Arial" w:cs="Arial"/>
          <w:sz w:val="24"/>
          <w:szCs w:val="24"/>
        </w:rPr>
        <w:t>In April 2021, the HWIVJB published its updated Model Complaints Procedure</w:t>
      </w:r>
      <w:r w:rsidR="0004088D">
        <w:rPr>
          <w:rFonts w:ascii="Arial" w:hAnsi="Arial" w:cs="Arial"/>
          <w:sz w:val="24"/>
          <w:szCs w:val="24"/>
        </w:rPr>
        <w:t xml:space="preserve"> and under the</w:t>
      </w:r>
      <w:r w:rsidR="00CA2A7B">
        <w:rPr>
          <w:rFonts w:ascii="Arial" w:hAnsi="Arial" w:cs="Arial"/>
          <w:sz w:val="24"/>
          <w:szCs w:val="24"/>
        </w:rPr>
        <w:t xml:space="preserve"> </w:t>
      </w:r>
      <w:r w:rsidR="0004088D">
        <w:rPr>
          <w:rFonts w:ascii="Arial" w:hAnsi="Arial" w:cs="Arial"/>
          <w:sz w:val="24"/>
          <w:szCs w:val="24"/>
        </w:rPr>
        <w:t xml:space="preserve">requirements of the Scottish Public Sector Ombudsman this </w:t>
      </w:r>
      <w:r w:rsidR="00CA2A7B">
        <w:rPr>
          <w:rFonts w:ascii="Arial" w:hAnsi="Arial" w:cs="Arial"/>
          <w:sz w:val="24"/>
          <w:szCs w:val="24"/>
        </w:rPr>
        <w:t xml:space="preserve">annual complaints </w:t>
      </w:r>
      <w:r w:rsidR="0004088D">
        <w:rPr>
          <w:rFonts w:ascii="Arial" w:hAnsi="Arial" w:cs="Arial"/>
          <w:sz w:val="24"/>
          <w:szCs w:val="24"/>
        </w:rPr>
        <w:t>report will be published on our website.</w:t>
      </w:r>
    </w:p>
    <w:p w14:paraId="67F54AFB" w14:textId="77777777" w:rsidR="00C61C64" w:rsidRDefault="00C61C64" w:rsidP="00C61C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316D1E" w14:textId="25311B69" w:rsidR="00113DE4" w:rsidRPr="00C61C64" w:rsidRDefault="00113DE4" w:rsidP="00C61C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1C64">
        <w:rPr>
          <w:rFonts w:ascii="Arial" w:hAnsi="Arial" w:cs="Arial"/>
          <w:sz w:val="24"/>
          <w:szCs w:val="24"/>
        </w:rPr>
        <w:t xml:space="preserve">We regard a complaint as any expression of dissatisfaction about our action or lack of action, or about the standard of service provided by us or on our behalf. </w:t>
      </w:r>
    </w:p>
    <w:p w14:paraId="04DC0164" w14:textId="5233DAE2" w:rsidR="00113DE4" w:rsidRPr="00C61C64" w:rsidRDefault="00113DE4" w:rsidP="00142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1C64">
        <w:rPr>
          <w:rFonts w:ascii="Arial" w:hAnsi="Arial" w:cs="Arial"/>
          <w:sz w:val="24"/>
          <w:szCs w:val="24"/>
        </w:rPr>
        <w:t xml:space="preserve"> </w:t>
      </w:r>
    </w:p>
    <w:p w14:paraId="3CBB46D9" w14:textId="79686BE9" w:rsidR="00113DE4" w:rsidRDefault="0014213B" w:rsidP="001421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Complaints may be made about things like:</w:t>
      </w:r>
    </w:p>
    <w:p w14:paraId="2307C440" w14:textId="5E1628F4" w:rsidR="0014213B" w:rsidRDefault="0014213B" w:rsidP="0014213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Failure or refusal to provide a service</w:t>
      </w:r>
    </w:p>
    <w:p w14:paraId="7714D7C7" w14:textId="3E043C0E" w:rsidR="0014213B" w:rsidRDefault="0014213B" w:rsidP="0014213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Inadequate quality or standard of service, or an unreasonable delay in providing a service</w:t>
      </w:r>
    </w:p>
    <w:p w14:paraId="4380CC6A" w14:textId="664BB861" w:rsidR="0014213B" w:rsidRDefault="0014213B" w:rsidP="0014213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Dissatisfaction with one of our policies or its impact on the individual</w:t>
      </w:r>
    </w:p>
    <w:p w14:paraId="72C42207" w14:textId="525EB0C7" w:rsidR="0014213B" w:rsidRDefault="0014213B" w:rsidP="0014213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Failure to properly apply law, procedure or guidance when delivering services</w:t>
      </w:r>
      <w:r w:rsidR="00EE2850">
        <w:rPr>
          <w:rFonts w:ascii="Arial" w:hAnsi="Arial" w:cs="Arial"/>
          <w:sz w:val="24"/>
          <w:szCs w:val="24"/>
        </w:rPr>
        <w:t xml:space="preserve"> </w:t>
      </w:r>
      <w:r w:rsidR="00EE2850">
        <w:rPr>
          <w:rStyle w:val="EndnoteReference"/>
          <w:rFonts w:ascii="Arial" w:hAnsi="Arial" w:cs="Arial"/>
          <w:sz w:val="24"/>
          <w:szCs w:val="24"/>
        </w:rPr>
        <w:endnoteReference w:id="1"/>
      </w:r>
    </w:p>
    <w:p w14:paraId="1874335A" w14:textId="2A3DADD2" w:rsidR="0014213B" w:rsidRDefault="0014213B" w:rsidP="0014213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Failure to follow the appropriate administrative process</w:t>
      </w:r>
    </w:p>
    <w:p w14:paraId="1B421062" w14:textId="05539C31" w:rsidR="0014213B" w:rsidRDefault="0014213B" w:rsidP="0014213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Conduct, treatment by or attitude of a member of staff or contractor (</w:t>
      </w:r>
      <w:r w:rsidRPr="0014213B">
        <w:rPr>
          <w:rFonts w:ascii="Arial" w:hAnsi="Arial" w:cs="Arial"/>
          <w:b/>
          <w:bCs/>
          <w:sz w:val="24"/>
          <w:szCs w:val="24"/>
        </w:rPr>
        <w:t xml:space="preserve">except </w:t>
      </w:r>
      <w:r>
        <w:rPr>
          <w:rFonts w:ascii="Arial" w:hAnsi="Arial" w:cs="Arial"/>
          <w:sz w:val="24"/>
          <w:szCs w:val="24"/>
        </w:rPr>
        <w:t>where there are arrangements in place for the contractor to handle the complaint themselves); or</w:t>
      </w:r>
    </w:p>
    <w:p w14:paraId="64227E38" w14:textId="13F8FF16" w:rsidR="0014213B" w:rsidRDefault="0014213B" w:rsidP="0014213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Disagreement with a decision</w:t>
      </w:r>
      <w:r w:rsidR="00EE2850">
        <w:rPr>
          <w:rFonts w:ascii="Arial" w:hAnsi="Arial" w:cs="Arial"/>
          <w:sz w:val="24"/>
          <w:szCs w:val="24"/>
        </w:rPr>
        <w:t xml:space="preserve"> </w:t>
      </w:r>
      <w:r w:rsidR="00EE2850">
        <w:rPr>
          <w:rStyle w:val="EndnoteReference"/>
          <w:rFonts w:ascii="Arial" w:hAnsi="Arial" w:cs="Arial"/>
          <w:sz w:val="24"/>
          <w:szCs w:val="24"/>
        </w:rPr>
        <w:endnoteReference w:id="2"/>
      </w:r>
    </w:p>
    <w:p w14:paraId="4A9070D2" w14:textId="77777777" w:rsidR="0014213B" w:rsidRDefault="0014213B" w:rsidP="001421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Complaints may involve more than one HWIVJB service or be about someone working on our behalf.</w:t>
      </w:r>
    </w:p>
    <w:p w14:paraId="4B41AB3D" w14:textId="0F2C2119" w:rsidR="0014213B" w:rsidRDefault="0014213B" w:rsidP="001421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some things that we are unable to deal with through ou</w:t>
      </w:r>
      <w:r w:rsidR="003E175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complaints handling procedure </w:t>
      </w:r>
      <w:r w:rsidR="003E175B">
        <w:rPr>
          <w:rFonts w:ascii="Arial" w:hAnsi="Arial" w:cs="Arial"/>
          <w:sz w:val="24"/>
          <w:szCs w:val="24"/>
        </w:rPr>
        <w:t>which include:</w:t>
      </w:r>
    </w:p>
    <w:p w14:paraId="6CC7EB82" w14:textId="594015E1" w:rsidR="003E175B" w:rsidRDefault="003E175B" w:rsidP="003E175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routine first-time request for a service</w:t>
      </w:r>
    </w:p>
    <w:p w14:paraId="0A943009" w14:textId="355C3547" w:rsidR="003E175B" w:rsidRDefault="003E175B" w:rsidP="003E175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first-time report of a fault</w:t>
      </w:r>
    </w:p>
    <w:p w14:paraId="2D74A2FC" w14:textId="6E9816C9" w:rsidR="003E175B" w:rsidRDefault="003E175B" w:rsidP="003E175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request for compensation only</w:t>
      </w:r>
    </w:p>
    <w:p w14:paraId="5BAF0073" w14:textId="498801EE" w:rsidR="003E175B" w:rsidRDefault="003E175B" w:rsidP="003E175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Issues that are in court or have already been heard by a court or a tribunal</w:t>
      </w:r>
    </w:p>
    <w:p w14:paraId="01BEEF8A" w14:textId="0D0374E7" w:rsidR="003E175B" w:rsidRDefault="003E175B" w:rsidP="003E175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Disagreement with a decision where there is a statutory procedure for challenging that decision (such as for freedom of information and subject access requests), or an established appeals process followed throughout the sector – such as council tax or non-domestic rating and the electoral register</w:t>
      </w:r>
    </w:p>
    <w:p w14:paraId="58A87EAF" w14:textId="4693A6F3" w:rsidR="003E175B" w:rsidRDefault="003E175B" w:rsidP="003E175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Formal complaints concerning valuations under the Valuation Acts</w:t>
      </w:r>
    </w:p>
    <w:p w14:paraId="2978890D" w14:textId="14E89927" w:rsidR="003E175B" w:rsidRDefault="003E175B" w:rsidP="003E175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Objections to inclusions on the </w:t>
      </w:r>
      <w:r w:rsidR="00C61C6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lectoral </w:t>
      </w:r>
      <w:r w:rsidR="00C61C6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egister</w:t>
      </w:r>
    </w:p>
    <w:p w14:paraId="7E8E004F" w14:textId="1B9B9982" w:rsidR="003E175B" w:rsidRDefault="003E175B" w:rsidP="003E175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request for information under the Data Protection or Freedom of Information (Scotland) Acts</w:t>
      </w:r>
    </w:p>
    <w:p w14:paraId="3B5CE2CC" w14:textId="11378568" w:rsidR="003E175B" w:rsidRDefault="003E175B" w:rsidP="003E175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grievance by a staff member or a grievance relating to employment or staff recruitment</w:t>
      </w:r>
    </w:p>
    <w:p w14:paraId="1A059756" w14:textId="3D9E84B0" w:rsidR="003E175B" w:rsidRDefault="003E175B" w:rsidP="003E175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concern raised internally by a member of staff (which was not about a service they received, such as a whistleblowing concern)</w:t>
      </w:r>
    </w:p>
    <w:p w14:paraId="1D5D517E" w14:textId="1B66FB45" w:rsidR="003E175B" w:rsidRDefault="003E175B" w:rsidP="003E175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attempt to reopen a previously concluded complaint or to have a complaint reconsidered where we have already given our final decision</w:t>
      </w:r>
    </w:p>
    <w:p w14:paraId="58C25736" w14:textId="424D2613" w:rsidR="003E175B" w:rsidRDefault="003E175B" w:rsidP="003E182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Abuse or unsubstantiated allegations about our organisation or staff where such actions would be covered by our Customer Contact – Unacceptable Actions Policy; or</w:t>
      </w:r>
    </w:p>
    <w:p w14:paraId="24BA6D7D" w14:textId="57D74A86" w:rsidR="003E175B" w:rsidRDefault="003E175B" w:rsidP="003E182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concern about the actions or service of a different organisation, where we have no involvement in the issue (</w:t>
      </w:r>
      <w:r w:rsidRPr="003E175B">
        <w:rPr>
          <w:rFonts w:ascii="Arial" w:hAnsi="Arial" w:cs="Arial"/>
          <w:b/>
          <w:bCs/>
          <w:sz w:val="24"/>
          <w:szCs w:val="24"/>
        </w:rPr>
        <w:t>except</w:t>
      </w:r>
      <w:r>
        <w:rPr>
          <w:rFonts w:ascii="Arial" w:hAnsi="Arial" w:cs="Arial"/>
          <w:sz w:val="24"/>
          <w:szCs w:val="24"/>
        </w:rPr>
        <w:t xml:space="preserve"> where the other organisation is delivering services on our behalf).</w:t>
      </w:r>
    </w:p>
    <w:p w14:paraId="7952D563" w14:textId="77777777" w:rsidR="003E1827" w:rsidRDefault="003E1827" w:rsidP="003E1827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B4AE1B" w14:textId="79D12794" w:rsidR="003E1827" w:rsidRDefault="003E1827" w:rsidP="003E18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complaints procedure has two stages:</w:t>
      </w:r>
    </w:p>
    <w:p w14:paraId="67E85944" w14:textId="77777777" w:rsidR="003E1827" w:rsidRDefault="003E1827" w:rsidP="003E18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DE51D2" w14:textId="6656345C" w:rsidR="003E1827" w:rsidRDefault="003E1827" w:rsidP="003E182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Stage 1 – frontline response</w:t>
      </w:r>
    </w:p>
    <w:p w14:paraId="14238CE2" w14:textId="0051FB40" w:rsidR="003E1827" w:rsidRDefault="003E1827" w:rsidP="003E182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Stage 2 – investigation</w:t>
      </w:r>
      <w:r w:rsidR="00C61C64">
        <w:rPr>
          <w:rFonts w:ascii="Arial" w:hAnsi="Arial" w:cs="Arial"/>
          <w:sz w:val="24"/>
          <w:szCs w:val="24"/>
        </w:rPr>
        <w:t xml:space="preserve"> of complaint</w:t>
      </w:r>
    </w:p>
    <w:p w14:paraId="67160706" w14:textId="77777777" w:rsidR="003E1827" w:rsidRPr="003E1827" w:rsidRDefault="003E1827" w:rsidP="003E1827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160295" w14:textId="5A990060" w:rsidR="003E175B" w:rsidRDefault="003E175B" w:rsidP="00C61C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129345577"/>
      <w:r>
        <w:rPr>
          <w:rFonts w:ascii="Arial" w:hAnsi="Arial" w:cs="Arial"/>
          <w:sz w:val="24"/>
          <w:szCs w:val="24"/>
        </w:rPr>
        <w:t xml:space="preserve">Between 1 </w:t>
      </w:r>
      <w:r w:rsidR="00C2724D">
        <w:rPr>
          <w:rFonts w:ascii="Arial" w:hAnsi="Arial" w:cs="Arial"/>
          <w:sz w:val="24"/>
          <w:szCs w:val="24"/>
        </w:rPr>
        <w:t>March</w:t>
      </w:r>
      <w:r>
        <w:rPr>
          <w:rFonts w:ascii="Arial" w:hAnsi="Arial" w:cs="Arial"/>
          <w:sz w:val="24"/>
          <w:szCs w:val="24"/>
        </w:rPr>
        <w:t xml:space="preserve"> 202</w:t>
      </w:r>
      <w:r w:rsidR="00C2724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and </w:t>
      </w:r>
      <w:r w:rsidR="00C2724D">
        <w:rPr>
          <w:rFonts w:ascii="Arial" w:hAnsi="Arial" w:cs="Arial"/>
          <w:sz w:val="24"/>
          <w:szCs w:val="24"/>
        </w:rPr>
        <w:t>29 February 2024</w:t>
      </w:r>
      <w:r w:rsidR="001D3BF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HWIVJB recorded and dealt with the following complaints:</w:t>
      </w:r>
    </w:p>
    <w:p w14:paraId="615185BF" w14:textId="77777777" w:rsidR="00DF08A0" w:rsidRDefault="00DF08A0" w:rsidP="00C61C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3544"/>
        <w:gridCol w:w="1266"/>
        <w:gridCol w:w="1994"/>
      </w:tblGrid>
      <w:tr w:rsidR="001D3BFF" w:rsidRPr="001D3BFF" w14:paraId="44B2A426" w14:textId="77777777" w:rsidTr="00C2724D">
        <w:tc>
          <w:tcPr>
            <w:tcW w:w="1838" w:type="dxa"/>
            <w:tcBorders>
              <w:bottom w:val="single" w:sz="4" w:space="0" w:color="auto"/>
            </w:tcBorders>
          </w:tcPr>
          <w:p w14:paraId="53D17476" w14:textId="77777777" w:rsidR="001D3BFF" w:rsidRPr="001D3BFF" w:rsidRDefault="001D3BFF" w:rsidP="002310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3BFF">
              <w:rPr>
                <w:rFonts w:ascii="Arial" w:hAnsi="Arial" w:cs="Arial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1559" w:type="dxa"/>
          </w:tcPr>
          <w:p w14:paraId="256DB3D4" w14:textId="77777777" w:rsidR="001D3BFF" w:rsidRPr="001D3BFF" w:rsidRDefault="001D3BFF" w:rsidP="002310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3BFF">
              <w:rPr>
                <w:rFonts w:ascii="Arial" w:hAnsi="Arial" w:cs="Arial"/>
                <w:b/>
                <w:bCs/>
                <w:sz w:val="24"/>
                <w:szCs w:val="24"/>
              </w:rPr>
              <w:t>No. of Complaints</w:t>
            </w:r>
          </w:p>
        </w:tc>
        <w:tc>
          <w:tcPr>
            <w:tcW w:w="3544" w:type="dxa"/>
          </w:tcPr>
          <w:p w14:paraId="7C988123" w14:textId="77777777" w:rsidR="001D3BFF" w:rsidRPr="001D3BFF" w:rsidRDefault="001D3BFF" w:rsidP="002310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3BFF">
              <w:rPr>
                <w:rFonts w:ascii="Arial" w:hAnsi="Arial" w:cs="Arial"/>
                <w:b/>
                <w:bCs/>
                <w:sz w:val="24"/>
                <w:szCs w:val="24"/>
              </w:rPr>
              <w:t>Service</w:t>
            </w:r>
          </w:p>
        </w:tc>
        <w:tc>
          <w:tcPr>
            <w:tcW w:w="1266" w:type="dxa"/>
          </w:tcPr>
          <w:p w14:paraId="019F139B" w14:textId="77777777" w:rsidR="001D3BFF" w:rsidRPr="001D3BFF" w:rsidRDefault="001D3BFF" w:rsidP="002310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3BFF">
              <w:rPr>
                <w:rFonts w:ascii="Arial" w:hAnsi="Arial" w:cs="Arial"/>
                <w:b/>
                <w:bCs/>
                <w:sz w:val="24"/>
                <w:szCs w:val="24"/>
              </w:rPr>
              <w:t>Outcome</w:t>
            </w:r>
          </w:p>
        </w:tc>
        <w:tc>
          <w:tcPr>
            <w:tcW w:w="1994" w:type="dxa"/>
          </w:tcPr>
          <w:p w14:paraId="4EBFC666" w14:textId="487A20EC" w:rsidR="001D3BFF" w:rsidRPr="001D3BFF" w:rsidRDefault="00495734" w:rsidP="002310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Outcome</w:t>
            </w:r>
          </w:p>
          <w:p w14:paraId="2E2B0D86" w14:textId="77777777" w:rsidR="001D3BFF" w:rsidRPr="001D3BFF" w:rsidRDefault="001D3BFF" w:rsidP="002310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D3BFF" w:rsidRPr="001D3BFF" w14:paraId="6ADA6D06" w14:textId="77777777" w:rsidTr="00C2724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5010D0" w14:textId="7A1F96C7" w:rsidR="001D3BFF" w:rsidRPr="00DF08A0" w:rsidRDefault="001D3BFF" w:rsidP="00231041">
            <w:pPr>
              <w:rPr>
                <w:rFonts w:ascii="Arial" w:hAnsi="Arial" w:cs="Arial"/>
                <w:sz w:val="24"/>
                <w:szCs w:val="24"/>
              </w:rPr>
            </w:pPr>
            <w:r w:rsidRPr="00DF08A0">
              <w:rPr>
                <w:rFonts w:ascii="Arial" w:hAnsi="Arial" w:cs="Arial"/>
                <w:sz w:val="24"/>
                <w:szCs w:val="24"/>
              </w:rPr>
              <w:t xml:space="preserve">Q1 </w:t>
            </w:r>
            <w:r w:rsidR="00C2724D" w:rsidRPr="00DF08A0">
              <w:rPr>
                <w:rFonts w:ascii="Arial" w:hAnsi="Arial" w:cs="Arial"/>
                <w:sz w:val="24"/>
                <w:szCs w:val="24"/>
              </w:rPr>
              <w:t>Mar</w:t>
            </w:r>
            <w:r w:rsidRPr="00DF08A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C2724D" w:rsidRPr="00DF08A0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EA1A838" w14:textId="77777777" w:rsidR="001D3BFF" w:rsidRPr="00DF08A0" w:rsidRDefault="001D3BFF" w:rsidP="00231041">
            <w:pPr>
              <w:rPr>
                <w:rFonts w:ascii="Arial" w:hAnsi="Arial" w:cs="Arial"/>
                <w:sz w:val="24"/>
                <w:szCs w:val="24"/>
              </w:rPr>
            </w:pPr>
            <w:r w:rsidRPr="00DF08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ABF5012" w14:textId="7489A3C9" w:rsidR="001D3BFF" w:rsidRPr="00DF08A0" w:rsidRDefault="00890DBA" w:rsidP="00231041">
            <w:pPr>
              <w:rPr>
                <w:rFonts w:ascii="Arial" w:hAnsi="Arial" w:cs="Arial"/>
                <w:sz w:val="24"/>
                <w:szCs w:val="24"/>
              </w:rPr>
            </w:pPr>
            <w:r w:rsidRPr="00DF08A0">
              <w:rPr>
                <w:rFonts w:ascii="Arial" w:hAnsi="Arial" w:cs="Arial"/>
                <w:sz w:val="24"/>
                <w:szCs w:val="24"/>
              </w:rPr>
              <w:t>Assessor</w:t>
            </w:r>
          </w:p>
        </w:tc>
        <w:tc>
          <w:tcPr>
            <w:tcW w:w="1266" w:type="dxa"/>
          </w:tcPr>
          <w:p w14:paraId="186FB9AE" w14:textId="7B6FED63" w:rsidR="001D3BFF" w:rsidRPr="00DF08A0" w:rsidRDefault="00890DBA" w:rsidP="00231041">
            <w:pPr>
              <w:rPr>
                <w:rFonts w:ascii="Arial" w:hAnsi="Arial" w:cs="Arial"/>
                <w:sz w:val="24"/>
                <w:szCs w:val="24"/>
              </w:rPr>
            </w:pPr>
            <w:r w:rsidRPr="00DF08A0">
              <w:rPr>
                <w:rFonts w:ascii="Arial" w:hAnsi="Arial" w:cs="Arial"/>
                <w:sz w:val="24"/>
                <w:szCs w:val="24"/>
              </w:rPr>
              <w:t>Stage 2</w:t>
            </w:r>
          </w:p>
        </w:tc>
        <w:tc>
          <w:tcPr>
            <w:tcW w:w="1994" w:type="dxa"/>
          </w:tcPr>
          <w:p w14:paraId="1132F47F" w14:textId="2C9BAB48" w:rsidR="001D3BFF" w:rsidRPr="00DF08A0" w:rsidRDefault="00495734" w:rsidP="00231041">
            <w:pPr>
              <w:rPr>
                <w:rFonts w:ascii="Arial" w:hAnsi="Arial" w:cs="Arial"/>
                <w:sz w:val="24"/>
                <w:szCs w:val="24"/>
              </w:rPr>
            </w:pPr>
            <w:r w:rsidRPr="00DF08A0">
              <w:rPr>
                <w:rFonts w:ascii="Arial" w:hAnsi="Arial" w:cs="Arial"/>
                <w:sz w:val="24"/>
                <w:szCs w:val="24"/>
              </w:rPr>
              <w:t>Not upheld</w:t>
            </w:r>
          </w:p>
        </w:tc>
      </w:tr>
      <w:tr w:rsidR="001D3BFF" w:rsidRPr="001D3BFF" w14:paraId="0AACABD2" w14:textId="77777777" w:rsidTr="00C2724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D2C64E" w14:textId="5A001507" w:rsidR="001D3BFF" w:rsidRPr="00DF08A0" w:rsidRDefault="001D3BFF" w:rsidP="00231041">
            <w:pPr>
              <w:rPr>
                <w:rFonts w:ascii="Arial" w:hAnsi="Arial" w:cs="Arial"/>
                <w:sz w:val="24"/>
                <w:szCs w:val="24"/>
              </w:rPr>
            </w:pPr>
            <w:r w:rsidRPr="00DF08A0">
              <w:rPr>
                <w:rFonts w:ascii="Arial" w:hAnsi="Arial" w:cs="Arial"/>
                <w:sz w:val="24"/>
                <w:szCs w:val="24"/>
              </w:rPr>
              <w:t>Q2 Ju</w:t>
            </w:r>
            <w:r w:rsidR="00C2724D" w:rsidRPr="00DF08A0">
              <w:rPr>
                <w:rFonts w:ascii="Arial" w:hAnsi="Arial" w:cs="Arial"/>
                <w:sz w:val="24"/>
                <w:szCs w:val="24"/>
              </w:rPr>
              <w:t>n</w:t>
            </w:r>
            <w:r w:rsidRPr="00DF08A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C2724D" w:rsidRPr="00DF08A0">
              <w:rPr>
                <w:rFonts w:ascii="Arial" w:hAnsi="Arial" w:cs="Arial"/>
                <w:sz w:val="24"/>
                <w:szCs w:val="24"/>
              </w:rPr>
              <w:t>Aug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C0E87B0" w14:textId="77777777" w:rsidR="001D3BFF" w:rsidRPr="00DF08A0" w:rsidRDefault="001D3BFF" w:rsidP="00231041">
            <w:pPr>
              <w:rPr>
                <w:rFonts w:ascii="Arial" w:hAnsi="Arial" w:cs="Arial"/>
                <w:sz w:val="24"/>
                <w:szCs w:val="24"/>
              </w:rPr>
            </w:pPr>
            <w:r w:rsidRPr="00DF08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4782D3F" w14:textId="1CC93B4D" w:rsidR="001D3BFF" w:rsidRPr="00DF08A0" w:rsidRDefault="00890DBA" w:rsidP="00231041">
            <w:pPr>
              <w:rPr>
                <w:rFonts w:ascii="Arial" w:hAnsi="Arial" w:cs="Arial"/>
                <w:sz w:val="24"/>
                <w:szCs w:val="24"/>
              </w:rPr>
            </w:pPr>
            <w:r w:rsidRPr="00DF08A0">
              <w:rPr>
                <w:rFonts w:ascii="Arial" w:hAnsi="Arial" w:cs="Arial"/>
                <w:sz w:val="24"/>
                <w:szCs w:val="24"/>
              </w:rPr>
              <w:t>Assessor</w:t>
            </w:r>
          </w:p>
        </w:tc>
        <w:tc>
          <w:tcPr>
            <w:tcW w:w="1266" w:type="dxa"/>
          </w:tcPr>
          <w:p w14:paraId="416CC093" w14:textId="47A0A316" w:rsidR="001D3BFF" w:rsidRPr="00DF08A0" w:rsidRDefault="00890DBA" w:rsidP="00231041">
            <w:pPr>
              <w:rPr>
                <w:rFonts w:ascii="Arial" w:hAnsi="Arial" w:cs="Arial"/>
                <w:sz w:val="24"/>
                <w:szCs w:val="24"/>
              </w:rPr>
            </w:pPr>
            <w:r w:rsidRPr="00DF08A0">
              <w:rPr>
                <w:rFonts w:ascii="Arial" w:hAnsi="Arial" w:cs="Arial"/>
                <w:sz w:val="24"/>
                <w:szCs w:val="24"/>
              </w:rPr>
              <w:t>Stage 1</w:t>
            </w:r>
          </w:p>
        </w:tc>
        <w:tc>
          <w:tcPr>
            <w:tcW w:w="1994" w:type="dxa"/>
          </w:tcPr>
          <w:p w14:paraId="04249675" w14:textId="2545D77E" w:rsidR="001D3BFF" w:rsidRPr="00DF08A0" w:rsidRDefault="00763944" w:rsidP="00231041">
            <w:pPr>
              <w:rPr>
                <w:rFonts w:ascii="Arial" w:hAnsi="Arial" w:cs="Arial"/>
                <w:sz w:val="24"/>
                <w:szCs w:val="24"/>
              </w:rPr>
            </w:pPr>
            <w:r w:rsidRPr="00DF08A0">
              <w:rPr>
                <w:rFonts w:ascii="Arial" w:hAnsi="Arial" w:cs="Arial"/>
                <w:sz w:val="24"/>
                <w:szCs w:val="24"/>
              </w:rPr>
              <w:t>Upheld</w:t>
            </w:r>
          </w:p>
        </w:tc>
      </w:tr>
      <w:tr w:rsidR="001D3BFF" w:rsidRPr="001D3BFF" w14:paraId="4128AE75" w14:textId="77777777" w:rsidTr="00C2724D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5C4D" w14:textId="77777777" w:rsidR="001D3BFF" w:rsidRPr="00DF08A0" w:rsidRDefault="001D3BFF" w:rsidP="002310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C09B49C" w14:textId="77777777" w:rsidR="001D3BFF" w:rsidRPr="00DF08A0" w:rsidRDefault="001D3BFF" w:rsidP="00231041">
            <w:pPr>
              <w:rPr>
                <w:rFonts w:ascii="Arial" w:hAnsi="Arial" w:cs="Arial"/>
                <w:sz w:val="24"/>
                <w:szCs w:val="24"/>
              </w:rPr>
            </w:pPr>
            <w:r w:rsidRPr="00DF08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B62BF2F" w14:textId="77777777" w:rsidR="001D3BFF" w:rsidRPr="00DF08A0" w:rsidRDefault="001D3BFF" w:rsidP="00231041">
            <w:pPr>
              <w:rPr>
                <w:rFonts w:ascii="Arial" w:hAnsi="Arial" w:cs="Arial"/>
                <w:sz w:val="24"/>
                <w:szCs w:val="24"/>
              </w:rPr>
            </w:pPr>
            <w:r w:rsidRPr="00DF08A0">
              <w:rPr>
                <w:rFonts w:ascii="Arial" w:hAnsi="Arial" w:cs="Arial"/>
                <w:sz w:val="24"/>
                <w:szCs w:val="24"/>
              </w:rPr>
              <w:t>Electoral Registration Officer</w:t>
            </w:r>
          </w:p>
        </w:tc>
        <w:tc>
          <w:tcPr>
            <w:tcW w:w="1266" w:type="dxa"/>
          </w:tcPr>
          <w:p w14:paraId="364D20F4" w14:textId="77777777" w:rsidR="001D3BFF" w:rsidRPr="00DF08A0" w:rsidRDefault="001D3BFF" w:rsidP="00231041">
            <w:pPr>
              <w:rPr>
                <w:rFonts w:ascii="Arial" w:hAnsi="Arial" w:cs="Arial"/>
                <w:sz w:val="24"/>
                <w:szCs w:val="24"/>
              </w:rPr>
            </w:pPr>
            <w:r w:rsidRPr="00DF08A0">
              <w:rPr>
                <w:rFonts w:ascii="Arial" w:hAnsi="Arial" w:cs="Arial"/>
                <w:sz w:val="24"/>
                <w:szCs w:val="24"/>
              </w:rPr>
              <w:t>Stage 1</w:t>
            </w:r>
          </w:p>
        </w:tc>
        <w:tc>
          <w:tcPr>
            <w:tcW w:w="1994" w:type="dxa"/>
          </w:tcPr>
          <w:p w14:paraId="47F5F0EE" w14:textId="5A04B252" w:rsidR="001D3BFF" w:rsidRPr="00DF08A0" w:rsidRDefault="00763944" w:rsidP="00231041">
            <w:pPr>
              <w:rPr>
                <w:rFonts w:ascii="Arial" w:hAnsi="Arial" w:cs="Arial"/>
                <w:sz w:val="24"/>
                <w:szCs w:val="24"/>
              </w:rPr>
            </w:pPr>
            <w:r w:rsidRPr="00DF08A0">
              <w:rPr>
                <w:rFonts w:ascii="Arial" w:hAnsi="Arial" w:cs="Arial"/>
                <w:sz w:val="24"/>
                <w:szCs w:val="24"/>
              </w:rPr>
              <w:t>Not upheld</w:t>
            </w:r>
          </w:p>
        </w:tc>
      </w:tr>
      <w:tr w:rsidR="000143C2" w:rsidRPr="001D3BFF" w14:paraId="40D68E10" w14:textId="77777777" w:rsidTr="00C2724D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EE26" w14:textId="1AF35D83" w:rsidR="000143C2" w:rsidRPr="00DF08A0" w:rsidRDefault="00DF08A0" w:rsidP="00231041">
            <w:pPr>
              <w:rPr>
                <w:rFonts w:ascii="Arial" w:hAnsi="Arial" w:cs="Arial"/>
                <w:sz w:val="24"/>
                <w:szCs w:val="24"/>
              </w:rPr>
            </w:pPr>
            <w:r w:rsidRPr="00DF08A0">
              <w:rPr>
                <w:rFonts w:ascii="Arial" w:hAnsi="Arial" w:cs="Arial"/>
                <w:sz w:val="24"/>
                <w:szCs w:val="24"/>
              </w:rPr>
              <w:t>Q3 Sep – Nov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242FBE0" w14:textId="0214D235" w:rsidR="000143C2" w:rsidRPr="00DF08A0" w:rsidRDefault="000143C2" w:rsidP="00231041">
            <w:pPr>
              <w:rPr>
                <w:rFonts w:ascii="Arial" w:hAnsi="Arial" w:cs="Arial"/>
                <w:sz w:val="24"/>
                <w:szCs w:val="24"/>
              </w:rPr>
            </w:pPr>
            <w:r w:rsidRPr="00DF08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3EC59E13" w14:textId="0202A787" w:rsidR="000143C2" w:rsidRPr="00DF08A0" w:rsidRDefault="000143C2" w:rsidP="00231041">
            <w:pPr>
              <w:rPr>
                <w:rFonts w:ascii="Arial" w:hAnsi="Arial" w:cs="Arial"/>
                <w:sz w:val="24"/>
                <w:szCs w:val="24"/>
              </w:rPr>
            </w:pPr>
            <w:r w:rsidRPr="00DF08A0">
              <w:rPr>
                <w:rFonts w:ascii="Arial" w:hAnsi="Arial" w:cs="Arial"/>
                <w:sz w:val="24"/>
                <w:szCs w:val="24"/>
              </w:rPr>
              <w:t>Electoral Registration Officer</w:t>
            </w:r>
          </w:p>
        </w:tc>
        <w:tc>
          <w:tcPr>
            <w:tcW w:w="1266" w:type="dxa"/>
          </w:tcPr>
          <w:p w14:paraId="3E4E0B08" w14:textId="6AE935F1" w:rsidR="000143C2" w:rsidRPr="00DF08A0" w:rsidRDefault="000143C2" w:rsidP="00231041">
            <w:pPr>
              <w:rPr>
                <w:rFonts w:ascii="Arial" w:hAnsi="Arial" w:cs="Arial"/>
                <w:sz w:val="24"/>
                <w:szCs w:val="24"/>
              </w:rPr>
            </w:pPr>
            <w:r w:rsidRPr="00DF08A0">
              <w:rPr>
                <w:rFonts w:ascii="Arial" w:hAnsi="Arial" w:cs="Arial"/>
                <w:sz w:val="24"/>
                <w:szCs w:val="24"/>
              </w:rPr>
              <w:t>Stage 1</w:t>
            </w:r>
          </w:p>
        </w:tc>
        <w:tc>
          <w:tcPr>
            <w:tcW w:w="1994" w:type="dxa"/>
          </w:tcPr>
          <w:p w14:paraId="5309FA5C" w14:textId="536A39F8" w:rsidR="000143C2" w:rsidRPr="00DF08A0" w:rsidRDefault="000143C2" w:rsidP="00231041">
            <w:pPr>
              <w:rPr>
                <w:rFonts w:ascii="Arial" w:hAnsi="Arial" w:cs="Arial"/>
                <w:sz w:val="24"/>
                <w:szCs w:val="24"/>
              </w:rPr>
            </w:pPr>
            <w:r w:rsidRPr="00DF08A0">
              <w:rPr>
                <w:rFonts w:ascii="Arial" w:hAnsi="Arial" w:cs="Arial"/>
                <w:sz w:val="24"/>
                <w:szCs w:val="24"/>
              </w:rPr>
              <w:t>Not upheld</w:t>
            </w:r>
          </w:p>
        </w:tc>
      </w:tr>
      <w:tr w:rsidR="000143C2" w:rsidRPr="001D3BFF" w14:paraId="4FE56BC1" w14:textId="77777777" w:rsidTr="00C2724D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93B4" w14:textId="77777777" w:rsidR="000143C2" w:rsidRPr="00DF08A0" w:rsidRDefault="000143C2" w:rsidP="002310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C211DFB" w14:textId="2F63A9E6" w:rsidR="000143C2" w:rsidRPr="00DF08A0" w:rsidRDefault="000143C2" w:rsidP="00231041">
            <w:pPr>
              <w:rPr>
                <w:rFonts w:ascii="Arial" w:hAnsi="Arial" w:cs="Arial"/>
                <w:sz w:val="24"/>
                <w:szCs w:val="24"/>
              </w:rPr>
            </w:pPr>
            <w:r w:rsidRPr="00DF08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D880BDD" w14:textId="7E44E76E" w:rsidR="000143C2" w:rsidRPr="00DF08A0" w:rsidRDefault="000143C2" w:rsidP="00231041">
            <w:pPr>
              <w:rPr>
                <w:rFonts w:ascii="Arial" w:hAnsi="Arial" w:cs="Arial"/>
                <w:sz w:val="24"/>
                <w:szCs w:val="24"/>
              </w:rPr>
            </w:pPr>
            <w:r w:rsidRPr="00DF08A0">
              <w:rPr>
                <w:rFonts w:ascii="Arial" w:hAnsi="Arial" w:cs="Arial"/>
                <w:sz w:val="24"/>
                <w:szCs w:val="24"/>
              </w:rPr>
              <w:t>Electoral Registration Officer</w:t>
            </w:r>
          </w:p>
        </w:tc>
        <w:tc>
          <w:tcPr>
            <w:tcW w:w="1266" w:type="dxa"/>
          </w:tcPr>
          <w:p w14:paraId="573BE36B" w14:textId="3864F925" w:rsidR="000143C2" w:rsidRPr="00DF08A0" w:rsidRDefault="000143C2" w:rsidP="00231041">
            <w:pPr>
              <w:rPr>
                <w:rFonts w:ascii="Arial" w:hAnsi="Arial" w:cs="Arial"/>
                <w:sz w:val="24"/>
                <w:szCs w:val="24"/>
              </w:rPr>
            </w:pPr>
            <w:r w:rsidRPr="00DF08A0">
              <w:rPr>
                <w:rFonts w:ascii="Arial" w:hAnsi="Arial" w:cs="Arial"/>
                <w:sz w:val="24"/>
                <w:szCs w:val="24"/>
              </w:rPr>
              <w:t>Stage 1</w:t>
            </w:r>
          </w:p>
        </w:tc>
        <w:tc>
          <w:tcPr>
            <w:tcW w:w="1994" w:type="dxa"/>
          </w:tcPr>
          <w:p w14:paraId="2F905A50" w14:textId="065C3A87" w:rsidR="000143C2" w:rsidRPr="00DF08A0" w:rsidRDefault="000143C2" w:rsidP="00231041">
            <w:pPr>
              <w:rPr>
                <w:rFonts w:ascii="Arial" w:hAnsi="Arial" w:cs="Arial"/>
                <w:sz w:val="24"/>
                <w:szCs w:val="24"/>
              </w:rPr>
            </w:pPr>
            <w:r w:rsidRPr="00DF08A0">
              <w:rPr>
                <w:rFonts w:ascii="Arial" w:hAnsi="Arial" w:cs="Arial"/>
                <w:sz w:val="24"/>
                <w:szCs w:val="24"/>
              </w:rPr>
              <w:t>Partially upheld</w:t>
            </w:r>
          </w:p>
        </w:tc>
      </w:tr>
      <w:tr w:rsidR="00890DBA" w:rsidRPr="001D3BFF" w14:paraId="43454C9F" w14:textId="77777777" w:rsidTr="00C2724D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2011" w14:textId="77777777" w:rsidR="00890DBA" w:rsidRPr="00DF08A0" w:rsidRDefault="00890DBA" w:rsidP="002310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C0BEE31" w14:textId="54995A75" w:rsidR="00890DBA" w:rsidRPr="00DF08A0" w:rsidRDefault="00890DBA" w:rsidP="00231041">
            <w:pPr>
              <w:rPr>
                <w:rFonts w:ascii="Arial" w:hAnsi="Arial" w:cs="Arial"/>
                <w:sz w:val="24"/>
                <w:szCs w:val="24"/>
              </w:rPr>
            </w:pPr>
            <w:r w:rsidRPr="00DF08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0BD8241" w14:textId="4DF0E362" w:rsidR="00890DBA" w:rsidRPr="00DF08A0" w:rsidRDefault="00890DBA" w:rsidP="00231041">
            <w:pPr>
              <w:rPr>
                <w:rFonts w:ascii="Arial" w:hAnsi="Arial" w:cs="Arial"/>
                <w:sz w:val="24"/>
                <w:szCs w:val="24"/>
              </w:rPr>
            </w:pPr>
            <w:r w:rsidRPr="00DF08A0">
              <w:rPr>
                <w:rFonts w:ascii="Arial" w:hAnsi="Arial" w:cs="Arial"/>
                <w:sz w:val="24"/>
                <w:szCs w:val="24"/>
              </w:rPr>
              <w:t>Assessor</w:t>
            </w:r>
          </w:p>
        </w:tc>
        <w:tc>
          <w:tcPr>
            <w:tcW w:w="1266" w:type="dxa"/>
          </w:tcPr>
          <w:p w14:paraId="513AB0C8" w14:textId="4545AC74" w:rsidR="00890DBA" w:rsidRPr="00DF08A0" w:rsidRDefault="00890DBA" w:rsidP="00231041">
            <w:pPr>
              <w:rPr>
                <w:rFonts w:ascii="Arial" w:hAnsi="Arial" w:cs="Arial"/>
                <w:sz w:val="24"/>
                <w:szCs w:val="24"/>
              </w:rPr>
            </w:pPr>
            <w:r w:rsidRPr="00DF08A0">
              <w:rPr>
                <w:rFonts w:ascii="Arial" w:hAnsi="Arial" w:cs="Arial"/>
                <w:sz w:val="24"/>
                <w:szCs w:val="24"/>
              </w:rPr>
              <w:t>Stage 2</w:t>
            </w:r>
          </w:p>
        </w:tc>
        <w:tc>
          <w:tcPr>
            <w:tcW w:w="1994" w:type="dxa"/>
          </w:tcPr>
          <w:p w14:paraId="539CD933" w14:textId="5EDC9362" w:rsidR="00890DBA" w:rsidRPr="00DF08A0" w:rsidRDefault="00763944" w:rsidP="00231041">
            <w:pPr>
              <w:rPr>
                <w:rFonts w:ascii="Arial" w:hAnsi="Arial" w:cs="Arial"/>
                <w:sz w:val="24"/>
                <w:szCs w:val="24"/>
              </w:rPr>
            </w:pPr>
            <w:r w:rsidRPr="00DF08A0">
              <w:rPr>
                <w:rFonts w:ascii="Arial" w:hAnsi="Arial" w:cs="Arial"/>
                <w:sz w:val="24"/>
                <w:szCs w:val="24"/>
              </w:rPr>
              <w:t>Partially upheld</w:t>
            </w:r>
          </w:p>
        </w:tc>
      </w:tr>
      <w:tr w:rsidR="00890DBA" w:rsidRPr="001D3BFF" w14:paraId="79B22929" w14:textId="77777777" w:rsidTr="00C2724D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5B97" w14:textId="77777777" w:rsidR="00890DBA" w:rsidRPr="00DF08A0" w:rsidRDefault="00890DBA" w:rsidP="002310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26F7397" w14:textId="7D793DB1" w:rsidR="00890DBA" w:rsidRPr="00DF08A0" w:rsidRDefault="00DF08A0" w:rsidP="00231041">
            <w:pPr>
              <w:rPr>
                <w:rFonts w:ascii="Arial" w:hAnsi="Arial" w:cs="Arial"/>
                <w:sz w:val="24"/>
                <w:szCs w:val="24"/>
              </w:rPr>
            </w:pPr>
            <w:r w:rsidRPr="00DF08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8B2497C" w14:textId="2F6552E3" w:rsidR="00890DBA" w:rsidRPr="00DF08A0" w:rsidRDefault="00890DBA" w:rsidP="00231041">
            <w:pPr>
              <w:rPr>
                <w:rFonts w:ascii="Arial" w:hAnsi="Arial" w:cs="Arial"/>
                <w:sz w:val="24"/>
                <w:szCs w:val="24"/>
              </w:rPr>
            </w:pPr>
            <w:r w:rsidRPr="00DF08A0">
              <w:rPr>
                <w:rFonts w:ascii="Arial" w:hAnsi="Arial" w:cs="Arial"/>
                <w:sz w:val="24"/>
                <w:szCs w:val="24"/>
              </w:rPr>
              <w:t>Electoral Registration Officer</w:t>
            </w:r>
          </w:p>
        </w:tc>
        <w:tc>
          <w:tcPr>
            <w:tcW w:w="1266" w:type="dxa"/>
          </w:tcPr>
          <w:p w14:paraId="1ABA0DE3" w14:textId="777C6024" w:rsidR="00890DBA" w:rsidRPr="00DF08A0" w:rsidRDefault="00890DBA" w:rsidP="00231041">
            <w:pPr>
              <w:rPr>
                <w:rFonts w:ascii="Arial" w:hAnsi="Arial" w:cs="Arial"/>
                <w:sz w:val="24"/>
                <w:szCs w:val="24"/>
              </w:rPr>
            </w:pPr>
            <w:r w:rsidRPr="00DF08A0">
              <w:rPr>
                <w:rFonts w:ascii="Arial" w:hAnsi="Arial" w:cs="Arial"/>
                <w:sz w:val="24"/>
                <w:szCs w:val="24"/>
              </w:rPr>
              <w:t xml:space="preserve">Stage </w:t>
            </w:r>
            <w:r w:rsidR="00DF08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94" w:type="dxa"/>
          </w:tcPr>
          <w:p w14:paraId="6EB39042" w14:textId="4D5CFAF5" w:rsidR="00890DBA" w:rsidRPr="00DF08A0" w:rsidRDefault="00763944" w:rsidP="00231041">
            <w:pPr>
              <w:rPr>
                <w:rFonts w:ascii="Arial" w:hAnsi="Arial" w:cs="Arial"/>
                <w:sz w:val="24"/>
                <w:szCs w:val="24"/>
              </w:rPr>
            </w:pPr>
            <w:r w:rsidRPr="00DF08A0">
              <w:rPr>
                <w:rFonts w:ascii="Arial" w:hAnsi="Arial" w:cs="Arial"/>
                <w:sz w:val="24"/>
                <w:szCs w:val="24"/>
              </w:rPr>
              <w:t>Not upheld</w:t>
            </w:r>
          </w:p>
        </w:tc>
      </w:tr>
      <w:tr w:rsidR="001D3BFF" w:rsidRPr="001D3BFF" w14:paraId="483DDAAB" w14:textId="77777777" w:rsidTr="00C2724D">
        <w:tc>
          <w:tcPr>
            <w:tcW w:w="1838" w:type="dxa"/>
            <w:tcBorders>
              <w:top w:val="single" w:sz="4" w:space="0" w:color="auto"/>
            </w:tcBorders>
          </w:tcPr>
          <w:p w14:paraId="653CAB20" w14:textId="75EC74A7" w:rsidR="001D3BFF" w:rsidRPr="00DF08A0" w:rsidRDefault="001D3BFF" w:rsidP="00231041">
            <w:pPr>
              <w:rPr>
                <w:rFonts w:ascii="Arial" w:hAnsi="Arial" w:cs="Arial"/>
                <w:sz w:val="24"/>
                <w:szCs w:val="24"/>
              </w:rPr>
            </w:pPr>
            <w:r w:rsidRPr="00DF08A0">
              <w:rPr>
                <w:rFonts w:ascii="Arial" w:hAnsi="Arial" w:cs="Arial"/>
                <w:sz w:val="24"/>
                <w:szCs w:val="24"/>
              </w:rPr>
              <w:t xml:space="preserve">Q4 </w:t>
            </w:r>
            <w:r w:rsidR="00C2724D" w:rsidRPr="00DF08A0">
              <w:rPr>
                <w:rFonts w:ascii="Arial" w:hAnsi="Arial" w:cs="Arial"/>
                <w:sz w:val="24"/>
                <w:szCs w:val="24"/>
              </w:rPr>
              <w:t>Dec</w:t>
            </w:r>
            <w:r w:rsidRPr="00DF08A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C2724D" w:rsidRPr="00DF08A0">
              <w:rPr>
                <w:rFonts w:ascii="Arial" w:hAnsi="Arial" w:cs="Arial"/>
                <w:sz w:val="24"/>
                <w:szCs w:val="24"/>
              </w:rPr>
              <w:t>Feb</w:t>
            </w:r>
          </w:p>
        </w:tc>
        <w:tc>
          <w:tcPr>
            <w:tcW w:w="1559" w:type="dxa"/>
          </w:tcPr>
          <w:p w14:paraId="637DCB5B" w14:textId="77777777" w:rsidR="001D3BFF" w:rsidRPr="00DF08A0" w:rsidRDefault="001D3BFF" w:rsidP="00231041">
            <w:pPr>
              <w:rPr>
                <w:rFonts w:ascii="Arial" w:hAnsi="Arial" w:cs="Arial"/>
                <w:sz w:val="24"/>
                <w:szCs w:val="24"/>
              </w:rPr>
            </w:pPr>
            <w:r w:rsidRPr="00DF08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BEF4F01" w14:textId="77777777" w:rsidR="001D3BFF" w:rsidRPr="00DF08A0" w:rsidRDefault="001D3BFF" w:rsidP="00231041">
            <w:pPr>
              <w:rPr>
                <w:rFonts w:ascii="Arial" w:hAnsi="Arial" w:cs="Arial"/>
                <w:sz w:val="24"/>
                <w:szCs w:val="24"/>
              </w:rPr>
            </w:pPr>
            <w:r w:rsidRPr="00DF08A0">
              <w:rPr>
                <w:rFonts w:ascii="Arial" w:hAnsi="Arial" w:cs="Arial"/>
                <w:sz w:val="24"/>
                <w:szCs w:val="24"/>
              </w:rPr>
              <w:t>Assessor</w:t>
            </w:r>
          </w:p>
        </w:tc>
        <w:tc>
          <w:tcPr>
            <w:tcW w:w="1266" w:type="dxa"/>
          </w:tcPr>
          <w:p w14:paraId="56B6B73F" w14:textId="77777777" w:rsidR="001D3BFF" w:rsidRPr="00DF08A0" w:rsidRDefault="001D3BFF" w:rsidP="00231041">
            <w:pPr>
              <w:rPr>
                <w:rFonts w:ascii="Arial" w:hAnsi="Arial" w:cs="Arial"/>
                <w:sz w:val="24"/>
                <w:szCs w:val="24"/>
              </w:rPr>
            </w:pPr>
            <w:r w:rsidRPr="00DF08A0">
              <w:rPr>
                <w:rFonts w:ascii="Arial" w:hAnsi="Arial" w:cs="Arial"/>
                <w:sz w:val="24"/>
                <w:szCs w:val="24"/>
              </w:rPr>
              <w:t>Stage 1</w:t>
            </w:r>
          </w:p>
        </w:tc>
        <w:tc>
          <w:tcPr>
            <w:tcW w:w="1994" w:type="dxa"/>
          </w:tcPr>
          <w:p w14:paraId="3AA0DCA8" w14:textId="60870D99" w:rsidR="001D3BFF" w:rsidRPr="00DF08A0" w:rsidRDefault="00763944" w:rsidP="00231041">
            <w:pPr>
              <w:rPr>
                <w:rFonts w:ascii="Arial" w:hAnsi="Arial" w:cs="Arial"/>
                <w:sz w:val="24"/>
                <w:szCs w:val="24"/>
              </w:rPr>
            </w:pPr>
            <w:r w:rsidRPr="00DF08A0">
              <w:rPr>
                <w:rFonts w:ascii="Arial" w:hAnsi="Arial" w:cs="Arial"/>
                <w:sz w:val="24"/>
                <w:szCs w:val="24"/>
              </w:rPr>
              <w:t>Resolved</w:t>
            </w:r>
          </w:p>
        </w:tc>
      </w:tr>
      <w:tr w:rsidR="00DA62BD" w:rsidRPr="001D3BFF" w14:paraId="47FE0FFF" w14:textId="77777777" w:rsidTr="00C2724D">
        <w:tc>
          <w:tcPr>
            <w:tcW w:w="1838" w:type="dxa"/>
            <w:tcBorders>
              <w:top w:val="single" w:sz="4" w:space="0" w:color="auto"/>
            </w:tcBorders>
          </w:tcPr>
          <w:p w14:paraId="7056DE48" w14:textId="77777777" w:rsidR="00DA62BD" w:rsidRPr="00DF08A0" w:rsidRDefault="00DA62BD" w:rsidP="002310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9A60EC" w14:textId="78B88AD1" w:rsidR="00DA62BD" w:rsidRPr="00DF08A0" w:rsidRDefault="00DA62BD" w:rsidP="00231041">
            <w:pPr>
              <w:rPr>
                <w:rFonts w:ascii="Arial" w:hAnsi="Arial" w:cs="Arial"/>
                <w:sz w:val="24"/>
                <w:szCs w:val="24"/>
              </w:rPr>
            </w:pPr>
            <w:r w:rsidRPr="00DF08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08525CF" w14:textId="69FC473B" w:rsidR="00DA62BD" w:rsidRPr="00DF08A0" w:rsidRDefault="00DA62BD" w:rsidP="00231041">
            <w:pPr>
              <w:rPr>
                <w:rFonts w:ascii="Arial" w:hAnsi="Arial" w:cs="Arial"/>
                <w:sz w:val="24"/>
                <w:szCs w:val="24"/>
              </w:rPr>
            </w:pPr>
            <w:r w:rsidRPr="00DF08A0">
              <w:rPr>
                <w:rFonts w:ascii="Arial" w:hAnsi="Arial" w:cs="Arial"/>
                <w:sz w:val="24"/>
                <w:szCs w:val="24"/>
              </w:rPr>
              <w:t>Electoral Registration Officer</w:t>
            </w:r>
          </w:p>
        </w:tc>
        <w:tc>
          <w:tcPr>
            <w:tcW w:w="1266" w:type="dxa"/>
          </w:tcPr>
          <w:p w14:paraId="3F085B81" w14:textId="46D579C3" w:rsidR="00DA62BD" w:rsidRPr="00DF08A0" w:rsidRDefault="00DA62BD" w:rsidP="00231041">
            <w:pPr>
              <w:rPr>
                <w:rFonts w:ascii="Arial" w:hAnsi="Arial" w:cs="Arial"/>
                <w:sz w:val="24"/>
                <w:szCs w:val="24"/>
              </w:rPr>
            </w:pPr>
            <w:r w:rsidRPr="00DF08A0">
              <w:rPr>
                <w:rFonts w:ascii="Arial" w:hAnsi="Arial" w:cs="Arial"/>
                <w:sz w:val="24"/>
                <w:szCs w:val="24"/>
              </w:rPr>
              <w:t>Stage 1</w:t>
            </w:r>
          </w:p>
        </w:tc>
        <w:tc>
          <w:tcPr>
            <w:tcW w:w="1994" w:type="dxa"/>
          </w:tcPr>
          <w:p w14:paraId="3EAB2D85" w14:textId="4CDE64CC" w:rsidR="00DA62BD" w:rsidRPr="00DF08A0" w:rsidRDefault="00763944" w:rsidP="00231041">
            <w:pPr>
              <w:rPr>
                <w:rFonts w:ascii="Arial" w:hAnsi="Arial" w:cs="Arial"/>
                <w:sz w:val="24"/>
                <w:szCs w:val="24"/>
              </w:rPr>
            </w:pPr>
            <w:r w:rsidRPr="00DF08A0">
              <w:rPr>
                <w:rFonts w:ascii="Arial" w:hAnsi="Arial" w:cs="Arial"/>
                <w:sz w:val="24"/>
                <w:szCs w:val="24"/>
              </w:rPr>
              <w:t>Not upheld</w:t>
            </w:r>
          </w:p>
        </w:tc>
      </w:tr>
      <w:tr w:rsidR="00111E36" w:rsidRPr="001D3BFF" w14:paraId="25E17E23" w14:textId="77777777" w:rsidTr="00C2724D">
        <w:tc>
          <w:tcPr>
            <w:tcW w:w="10201" w:type="dxa"/>
            <w:gridSpan w:val="5"/>
            <w:shd w:val="clear" w:color="auto" w:fill="F2F2F2" w:themeFill="background1" w:themeFillShade="F2"/>
          </w:tcPr>
          <w:p w14:paraId="169D26AD" w14:textId="77B3E06F" w:rsidR="00111E36" w:rsidRPr="00111E36" w:rsidRDefault="00111E36" w:rsidP="002310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3BFF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Stage 1 complaints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890DBA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111E36" w:rsidRPr="001D3BFF" w14:paraId="1B3B9452" w14:textId="77777777" w:rsidTr="00C2724D">
        <w:tc>
          <w:tcPr>
            <w:tcW w:w="10201" w:type="dxa"/>
            <w:gridSpan w:val="5"/>
            <w:shd w:val="clear" w:color="auto" w:fill="F2F2F2" w:themeFill="background1" w:themeFillShade="F2"/>
          </w:tcPr>
          <w:p w14:paraId="6703E380" w14:textId="429771DC" w:rsidR="00111E36" w:rsidRPr="001D3BFF" w:rsidRDefault="00111E36" w:rsidP="00111E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Stage 2 complaints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890DB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(received at Stage 1, escalated to Stage 2)</w:t>
            </w:r>
          </w:p>
        </w:tc>
      </w:tr>
      <w:bookmarkEnd w:id="0"/>
    </w:tbl>
    <w:p w14:paraId="26D496C5" w14:textId="44A8CA4C" w:rsidR="003E175B" w:rsidRDefault="003E175B" w:rsidP="000D64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F07B75" w14:textId="107A4F8F" w:rsidR="001613FA" w:rsidRDefault="00FF4A55" w:rsidP="000D64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06C">
        <w:rPr>
          <w:rFonts w:ascii="Arial" w:hAnsi="Arial" w:cs="Arial"/>
          <w:sz w:val="24"/>
          <w:szCs w:val="24"/>
        </w:rPr>
        <w:t xml:space="preserve">Of the </w:t>
      </w:r>
      <w:r w:rsidR="00890DBA">
        <w:rPr>
          <w:rFonts w:ascii="Arial" w:hAnsi="Arial" w:cs="Arial"/>
          <w:sz w:val="24"/>
          <w:szCs w:val="24"/>
        </w:rPr>
        <w:t>9</w:t>
      </w:r>
      <w:r w:rsidRPr="00C4706C">
        <w:rPr>
          <w:rFonts w:ascii="Arial" w:hAnsi="Arial" w:cs="Arial"/>
          <w:sz w:val="24"/>
          <w:szCs w:val="24"/>
        </w:rPr>
        <w:t xml:space="preserve"> complaints received, </w:t>
      </w:r>
      <w:r w:rsidR="00495734" w:rsidRPr="00495734">
        <w:rPr>
          <w:rFonts w:ascii="Arial" w:hAnsi="Arial" w:cs="Arial"/>
          <w:sz w:val="24"/>
          <w:szCs w:val="24"/>
        </w:rPr>
        <w:t>5</w:t>
      </w:r>
      <w:r w:rsidR="00B85636" w:rsidRPr="00495734">
        <w:rPr>
          <w:rFonts w:ascii="Arial" w:hAnsi="Arial" w:cs="Arial"/>
          <w:sz w:val="24"/>
          <w:szCs w:val="24"/>
        </w:rPr>
        <w:t xml:space="preserve"> </w:t>
      </w:r>
      <w:r w:rsidR="004E76A8" w:rsidRPr="00495734">
        <w:rPr>
          <w:rFonts w:ascii="Arial" w:hAnsi="Arial" w:cs="Arial"/>
          <w:sz w:val="24"/>
          <w:szCs w:val="24"/>
        </w:rPr>
        <w:t>(</w:t>
      </w:r>
      <w:r w:rsidR="00890DBA" w:rsidRPr="00495734">
        <w:rPr>
          <w:rFonts w:ascii="Arial" w:hAnsi="Arial" w:cs="Arial"/>
          <w:sz w:val="24"/>
          <w:szCs w:val="24"/>
        </w:rPr>
        <w:t>55.5</w:t>
      </w:r>
      <w:r w:rsidR="00B81D0F" w:rsidRPr="00495734">
        <w:rPr>
          <w:rFonts w:ascii="Arial" w:hAnsi="Arial" w:cs="Arial"/>
          <w:sz w:val="24"/>
          <w:szCs w:val="24"/>
        </w:rPr>
        <w:t>%</w:t>
      </w:r>
      <w:r w:rsidR="004E76A8" w:rsidRPr="00495734">
        <w:rPr>
          <w:rFonts w:ascii="Arial" w:hAnsi="Arial" w:cs="Arial"/>
          <w:sz w:val="24"/>
          <w:szCs w:val="24"/>
        </w:rPr>
        <w:t>)</w:t>
      </w:r>
      <w:r w:rsidR="004E76A8">
        <w:rPr>
          <w:rFonts w:ascii="Arial" w:hAnsi="Arial" w:cs="Arial"/>
          <w:sz w:val="24"/>
          <w:szCs w:val="24"/>
        </w:rPr>
        <w:t xml:space="preserve"> </w:t>
      </w:r>
      <w:r w:rsidR="00B85636">
        <w:rPr>
          <w:rFonts w:ascii="Arial" w:hAnsi="Arial" w:cs="Arial"/>
          <w:sz w:val="24"/>
          <w:szCs w:val="24"/>
        </w:rPr>
        <w:t>were</w:t>
      </w:r>
      <w:r w:rsidR="00F150DF">
        <w:rPr>
          <w:rFonts w:ascii="Arial" w:hAnsi="Arial" w:cs="Arial"/>
          <w:sz w:val="24"/>
          <w:szCs w:val="24"/>
        </w:rPr>
        <w:t xml:space="preserve"> responded to in full</w:t>
      </w:r>
      <w:r w:rsidR="00B85636">
        <w:rPr>
          <w:rFonts w:ascii="Arial" w:hAnsi="Arial" w:cs="Arial"/>
          <w:sz w:val="24"/>
          <w:szCs w:val="24"/>
        </w:rPr>
        <w:t xml:space="preserve"> at stage 1 within 5 working days</w:t>
      </w:r>
      <w:r w:rsidR="00890DBA">
        <w:rPr>
          <w:rFonts w:ascii="Arial" w:hAnsi="Arial" w:cs="Arial"/>
          <w:sz w:val="24"/>
          <w:szCs w:val="24"/>
        </w:rPr>
        <w:t xml:space="preserve"> with one stage 1 complaint being dealt with </w:t>
      </w:r>
      <w:r w:rsidR="00495734">
        <w:rPr>
          <w:rFonts w:ascii="Arial" w:hAnsi="Arial" w:cs="Arial"/>
          <w:sz w:val="24"/>
          <w:szCs w:val="24"/>
        </w:rPr>
        <w:t xml:space="preserve">on </w:t>
      </w:r>
      <w:r w:rsidR="00890DBA">
        <w:rPr>
          <w:rFonts w:ascii="Arial" w:hAnsi="Arial" w:cs="Arial"/>
          <w:sz w:val="24"/>
          <w:szCs w:val="24"/>
        </w:rPr>
        <w:t>the sixth working day</w:t>
      </w:r>
      <w:r w:rsidR="0054063D">
        <w:rPr>
          <w:rFonts w:ascii="Arial" w:hAnsi="Arial" w:cs="Arial"/>
          <w:sz w:val="24"/>
          <w:szCs w:val="24"/>
        </w:rPr>
        <w:t xml:space="preserve">. </w:t>
      </w:r>
      <w:r w:rsidR="00890DBA">
        <w:rPr>
          <w:rFonts w:ascii="Arial" w:hAnsi="Arial" w:cs="Arial"/>
          <w:sz w:val="24"/>
          <w:szCs w:val="24"/>
        </w:rPr>
        <w:t>This was due to a delay in the complaint being passed to the senior management team</w:t>
      </w:r>
      <w:r w:rsidR="00495734">
        <w:rPr>
          <w:rFonts w:ascii="Arial" w:hAnsi="Arial" w:cs="Arial"/>
          <w:sz w:val="24"/>
          <w:szCs w:val="24"/>
        </w:rPr>
        <w:t xml:space="preserve"> and this issue was raised with staff concerned</w:t>
      </w:r>
      <w:r w:rsidR="0054063D">
        <w:rPr>
          <w:rFonts w:ascii="Arial" w:hAnsi="Arial" w:cs="Arial"/>
          <w:sz w:val="24"/>
          <w:szCs w:val="24"/>
        </w:rPr>
        <w:t xml:space="preserve">. </w:t>
      </w:r>
      <w:r w:rsidR="00B81D0F">
        <w:rPr>
          <w:rFonts w:ascii="Arial" w:hAnsi="Arial" w:cs="Arial"/>
          <w:sz w:val="24"/>
          <w:szCs w:val="24"/>
        </w:rPr>
        <w:t xml:space="preserve">The average number of days to respond to these complaints was </w:t>
      </w:r>
      <w:r w:rsidR="00495734">
        <w:rPr>
          <w:rFonts w:ascii="Arial" w:hAnsi="Arial" w:cs="Arial"/>
          <w:sz w:val="24"/>
          <w:szCs w:val="24"/>
        </w:rPr>
        <w:t>4</w:t>
      </w:r>
      <w:r w:rsidR="00B81D0F">
        <w:rPr>
          <w:rFonts w:ascii="Arial" w:hAnsi="Arial" w:cs="Arial"/>
          <w:sz w:val="24"/>
          <w:szCs w:val="24"/>
        </w:rPr>
        <w:t xml:space="preserve"> working days</w:t>
      </w:r>
      <w:r w:rsidR="0054063D">
        <w:rPr>
          <w:rFonts w:ascii="Arial" w:hAnsi="Arial" w:cs="Arial"/>
          <w:sz w:val="24"/>
          <w:szCs w:val="24"/>
        </w:rPr>
        <w:t xml:space="preserve">. </w:t>
      </w:r>
    </w:p>
    <w:p w14:paraId="6F08C147" w14:textId="77777777" w:rsidR="00495734" w:rsidRDefault="00495734" w:rsidP="000D64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243626" w14:textId="6D238DA5" w:rsidR="00495734" w:rsidRDefault="00495734" w:rsidP="000D64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F08A0"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z w:val="24"/>
          <w:szCs w:val="24"/>
        </w:rPr>
        <w:t>the stage 2 complaints, these were all responded to within 20 working days.</w:t>
      </w:r>
    </w:p>
    <w:p w14:paraId="36983763" w14:textId="77777777" w:rsidR="0009733B" w:rsidRDefault="0009733B" w:rsidP="000D64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80F2F8" w14:textId="208783C1" w:rsidR="0009733B" w:rsidRDefault="0009733B" w:rsidP="000D64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actions have been taken to improve service delivery:</w:t>
      </w:r>
    </w:p>
    <w:p w14:paraId="7B240313" w14:textId="77777777" w:rsidR="0009733B" w:rsidRDefault="0009733B" w:rsidP="000D64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77D9B6" w14:textId="10302F41" w:rsidR="0009733B" w:rsidRDefault="0009733B" w:rsidP="0009733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Amendments to electoral registration webpage to note that anyone aged 14 or over can apply to register to </w:t>
      </w:r>
      <w:r w:rsidR="0054063D">
        <w:rPr>
          <w:rFonts w:ascii="Arial" w:hAnsi="Arial" w:cs="Arial"/>
          <w:sz w:val="24"/>
          <w:szCs w:val="24"/>
        </w:rPr>
        <w:t>vote.</w:t>
      </w:r>
    </w:p>
    <w:p w14:paraId="7D749162" w14:textId="1492237E" w:rsidR="0009733B" w:rsidRDefault="0009733B" w:rsidP="0009733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Content of electoral review letter amended after feedback from</w:t>
      </w:r>
      <w:r w:rsidR="0054063D">
        <w:rPr>
          <w:rFonts w:ascii="Arial" w:hAnsi="Arial" w:cs="Arial"/>
          <w:sz w:val="24"/>
          <w:szCs w:val="24"/>
        </w:rPr>
        <w:t xml:space="preserve"> elector on tone of the letter.</w:t>
      </w:r>
    </w:p>
    <w:p w14:paraId="6953D0C1" w14:textId="0624350C" w:rsidR="0009733B" w:rsidRPr="0009733B" w:rsidRDefault="0009733B" w:rsidP="0009733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733B">
        <w:rPr>
          <w:rFonts w:ascii="Arial" w:hAnsi="Arial" w:cs="Arial"/>
          <w:sz w:val="24"/>
          <w:szCs w:val="24"/>
        </w:rPr>
        <w:t>Staff advised to return tel</w:t>
      </w:r>
      <w:r>
        <w:rPr>
          <w:rFonts w:ascii="Arial" w:hAnsi="Arial" w:cs="Arial"/>
          <w:sz w:val="24"/>
          <w:szCs w:val="24"/>
        </w:rPr>
        <w:t>ephone</w:t>
      </w:r>
      <w:r w:rsidRPr="0009733B">
        <w:rPr>
          <w:rFonts w:ascii="Arial" w:hAnsi="Arial" w:cs="Arial"/>
          <w:sz w:val="24"/>
          <w:szCs w:val="24"/>
        </w:rPr>
        <w:t xml:space="preserve"> calls timeously &amp; give timescale for full response to </w:t>
      </w:r>
      <w:r w:rsidR="0054063D" w:rsidRPr="0009733B">
        <w:rPr>
          <w:rFonts w:ascii="Arial" w:hAnsi="Arial" w:cs="Arial"/>
          <w:sz w:val="24"/>
          <w:szCs w:val="24"/>
        </w:rPr>
        <w:t>enquir</w:t>
      </w:r>
      <w:r w:rsidR="0054063D">
        <w:rPr>
          <w:rFonts w:ascii="Arial" w:hAnsi="Arial" w:cs="Arial"/>
          <w:sz w:val="24"/>
          <w:szCs w:val="24"/>
        </w:rPr>
        <w:t>ies.</w:t>
      </w:r>
    </w:p>
    <w:p w14:paraId="0C4AC5CA" w14:textId="2B927B19" w:rsidR="000D6408" w:rsidRDefault="000D6408" w:rsidP="000D64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894813" w14:textId="4B84419C" w:rsidR="000D6408" w:rsidRPr="000D6408" w:rsidRDefault="000D6408" w:rsidP="000D640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D6408">
        <w:rPr>
          <w:rFonts w:ascii="Arial" w:hAnsi="Arial" w:cs="Arial"/>
          <w:sz w:val="24"/>
          <w:szCs w:val="24"/>
          <w:u w:val="single"/>
        </w:rPr>
        <w:t>Trends</w:t>
      </w:r>
    </w:p>
    <w:p w14:paraId="2BD5EB72" w14:textId="48B62BDC" w:rsidR="000D6408" w:rsidRDefault="000D6408" w:rsidP="000D64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BD80A6" w14:textId="69DC5C62" w:rsidR="000D6408" w:rsidRPr="00DF08A0" w:rsidRDefault="000D6408" w:rsidP="000D64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08A0">
        <w:rPr>
          <w:rFonts w:ascii="Arial" w:hAnsi="Arial" w:cs="Arial"/>
          <w:sz w:val="24"/>
          <w:szCs w:val="24"/>
        </w:rPr>
        <w:t>From 1 April 202</w:t>
      </w:r>
      <w:r w:rsidR="00495734" w:rsidRPr="00DF08A0">
        <w:rPr>
          <w:rFonts w:ascii="Arial" w:hAnsi="Arial" w:cs="Arial"/>
          <w:sz w:val="24"/>
          <w:szCs w:val="24"/>
        </w:rPr>
        <w:t>2</w:t>
      </w:r>
      <w:r w:rsidRPr="00DF08A0">
        <w:rPr>
          <w:rFonts w:ascii="Arial" w:hAnsi="Arial" w:cs="Arial"/>
          <w:sz w:val="24"/>
          <w:szCs w:val="24"/>
        </w:rPr>
        <w:t xml:space="preserve"> to </w:t>
      </w:r>
      <w:r w:rsidR="00495734" w:rsidRPr="00DF08A0">
        <w:rPr>
          <w:rFonts w:ascii="Arial" w:hAnsi="Arial" w:cs="Arial"/>
          <w:sz w:val="24"/>
          <w:szCs w:val="24"/>
        </w:rPr>
        <w:t>28</w:t>
      </w:r>
      <w:r w:rsidRPr="00DF08A0">
        <w:rPr>
          <w:rFonts w:ascii="Arial" w:hAnsi="Arial" w:cs="Arial"/>
          <w:sz w:val="24"/>
          <w:szCs w:val="24"/>
        </w:rPr>
        <w:t xml:space="preserve"> </w:t>
      </w:r>
      <w:r w:rsidR="00495734" w:rsidRPr="00DF08A0">
        <w:rPr>
          <w:rFonts w:ascii="Arial" w:hAnsi="Arial" w:cs="Arial"/>
          <w:sz w:val="24"/>
          <w:szCs w:val="24"/>
        </w:rPr>
        <w:t>February</w:t>
      </w:r>
      <w:r w:rsidRPr="00DF08A0">
        <w:rPr>
          <w:rFonts w:ascii="Arial" w:hAnsi="Arial" w:cs="Arial"/>
          <w:sz w:val="24"/>
          <w:szCs w:val="24"/>
        </w:rPr>
        <w:t xml:space="preserve"> 202</w:t>
      </w:r>
      <w:r w:rsidR="00495734" w:rsidRPr="00DF08A0">
        <w:rPr>
          <w:rFonts w:ascii="Arial" w:hAnsi="Arial" w:cs="Arial"/>
          <w:sz w:val="24"/>
          <w:szCs w:val="24"/>
        </w:rPr>
        <w:t>3</w:t>
      </w:r>
      <w:r w:rsidRPr="00DF08A0">
        <w:rPr>
          <w:rFonts w:ascii="Arial" w:hAnsi="Arial" w:cs="Arial"/>
          <w:sz w:val="24"/>
          <w:szCs w:val="24"/>
        </w:rPr>
        <w:t xml:space="preserve">, we </w:t>
      </w:r>
      <w:r w:rsidR="0054063D" w:rsidRPr="00DF08A0">
        <w:rPr>
          <w:rFonts w:ascii="Arial" w:hAnsi="Arial" w:cs="Arial"/>
          <w:sz w:val="24"/>
          <w:szCs w:val="24"/>
        </w:rPr>
        <w:t>managed</w:t>
      </w:r>
      <w:r w:rsidRPr="00DF08A0">
        <w:rPr>
          <w:rFonts w:ascii="Arial" w:hAnsi="Arial" w:cs="Arial"/>
          <w:sz w:val="24"/>
          <w:szCs w:val="24"/>
        </w:rPr>
        <w:t xml:space="preserve"> </w:t>
      </w:r>
      <w:r w:rsidR="00495734" w:rsidRPr="00DF08A0">
        <w:rPr>
          <w:rFonts w:ascii="Arial" w:hAnsi="Arial" w:cs="Arial"/>
          <w:sz w:val="24"/>
          <w:szCs w:val="24"/>
        </w:rPr>
        <w:t>7</w:t>
      </w:r>
      <w:r w:rsidRPr="00DF08A0">
        <w:rPr>
          <w:rFonts w:ascii="Arial" w:hAnsi="Arial" w:cs="Arial"/>
          <w:sz w:val="24"/>
          <w:szCs w:val="24"/>
        </w:rPr>
        <w:t xml:space="preserve"> complaints</w:t>
      </w:r>
      <w:r w:rsidR="0054063D" w:rsidRPr="00DF08A0">
        <w:rPr>
          <w:rFonts w:ascii="Arial" w:hAnsi="Arial" w:cs="Arial"/>
          <w:sz w:val="24"/>
          <w:szCs w:val="24"/>
        </w:rPr>
        <w:t xml:space="preserve">. </w:t>
      </w:r>
      <w:r w:rsidRPr="00DF08A0">
        <w:rPr>
          <w:rFonts w:ascii="Arial" w:hAnsi="Arial" w:cs="Arial"/>
          <w:sz w:val="24"/>
          <w:szCs w:val="24"/>
        </w:rPr>
        <w:t xml:space="preserve">Whilst we have seen a slight increase in the number of complaints received up to </w:t>
      </w:r>
      <w:r w:rsidR="00495734" w:rsidRPr="00DF08A0">
        <w:rPr>
          <w:rFonts w:ascii="Arial" w:hAnsi="Arial" w:cs="Arial"/>
          <w:sz w:val="24"/>
          <w:szCs w:val="24"/>
        </w:rPr>
        <w:t>29 February 2024</w:t>
      </w:r>
      <w:r w:rsidRPr="00DF08A0">
        <w:rPr>
          <w:rFonts w:ascii="Arial" w:hAnsi="Arial" w:cs="Arial"/>
          <w:sz w:val="24"/>
          <w:szCs w:val="24"/>
        </w:rPr>
        <w:t>,</w:t>
      </w:r>
      <w:r w:rsidR="00376B49" w:rsidRPr="00DF08A0">
        <w:rPr>
          <w:rFonts w:ascii="Arial" w:hAnsi="Arial" w:cs="Arial"/>
          <w:sz w:val="24"/>
          <w:szCs w:val="24"/>
        </w:rPr>
        <w:t xml:space="preserve"> 5 of these </w:t>
      </w:r>
      <w:r w:rsidRPr="00DF08A0">
        <w:rPr>
          <w:rFonts w:ascii="Arial" w:hAnsi="Arial" w:cs="Arial"/>
          <w:sz w:val="24"/>
          <w:szCs w:val="24"/>
        </w:rPr>
        <w:t>relat</w:t>
      </w:r>
      <w:r w:rsidR="00376B49" w:rsidRPr="00DF08A0">
        <w:rPr>
          <w:rFonts w:ascii="Arial" w:hAnsi="Arial" w:cs="Arial"/>
          <w:sz w:val="24"/>
          <w:szCs w:val="24"/>
        </w:rPr>
        <w:t>ed</w:t>
      </w:r>
      <w:r w:rsidRPr="00DF08A0">
        <w:rPr>
          <w:rFonts w:ascii="Arial" w:hAnsi="Arial" w:cs="Arial"/>
          <w:sz w:val="24"/>
          <w:szCs w:val="24"/>
        </w:rPr>
        <w:t xml:space="preserve"> to a statutory procedure </w:t>
      </w:r>
      <w:r w:rsidR="00376B49" w:rsidRPr="00DF08A0">
        <w:rPr>
          <w:rFonts w:ascii="Arial" w:hAnsi="Arial" w:cs="Arial"/>
          <w:sz w:val="24"/>
          <w:szCs w:val="24"/>
        </w:rPr>
        <w:t xml:space="preserve">i.e., </w:t>
      </w:r>
      <w:r w:rsidR="00495734" w:rsidRPr="00DF08A0">
        <w:rPr>
          <w:rFonts w:ascii="Arial" w:hAnsi="Arial" w:cs="Arial"/>
          <w:sz w:val="24"/>
          <w:szCs w:val="24"/>
        </w:rPr>
        <w:t>e</w:t>
      </w:r>
      <w:r w:rsidR="00376B49" w:rsidRPr="00DF08A0">
        <w:rPr>
          <w:rFonts w:ascii="Arial" w:hAnsi="Arial" w:cs="Arial"/>
          <w:sz w:val="24"/>
          <w:szCs w:val="24"/>
        </w:rPr>
        <w:t>lectoral registration process or council tax appeals pro</w:t>
      </w:r>
      <w:r w:rsidR="00FF77BB" w:rsidRPr="00DF08A0">
        <w:rPr>
          <w:rFonts w:ascii="Arial" w:hAnsi="Arial" w:cs="Arial"/>
          <w:sz w:val="24"/>
          <w:szCs w:val="24"/>
        </w:rPr>
        <w:t>cedures.</w:t>
      </w:r>
    </w:p>
    <w:p w14:paraId="7FDC2B39" w14:textId="3C73215E" w:rsidR="000D6408" w:rsidRPr="00DF08A0" w:rsidRDefault="000D6408" w:rsidP="000D64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5278BC" w14:textId="121BD9CA" w:rsidR="000C7EF7" w:rsidRDefault="000C7EF7" w:rsidP="00113D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information on our Complaints Procedure can be found by visiting our website:</w:t>
      </w:r>
    </w:p>
    <w:p w14:paraId="6A4FFF9D" w14:textId="3ED95622" w:rsidR="000C7EF7" w:rsidRDefault="000C7EF7" w:rsidP="00113D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CA1CB6" w14:textId="0543D6E2" w:rsidR="000C7EF7" w:rsidRDefault="0054063D" w:rsidP="00113D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="00C4706C" w:rsidRPr="00555E74">
          <w:rPr>
            <w:rStyle w:val="Hyperlink"/>
            <w:rFonts w:ascii="Arial" w:hAnsi="Arial" w:cs="Arial"/>
            <w:sz w:val="24"/>
            <w:szCs w:val="24"/>
          </w:rPr>
          <w:t>https://www.saa.gov.uk/h-wi-vjb/comments-and-complaints/</w:t>
        </w:r>
      </w:hyperlink>
    </w:p>
    <w:p w14:paraId="0D7DC75F" w14:textId="1697502E" w:rsidR="00C4706C" w:rsidRDefault="00C4706C" w:rsidP="00113D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EBB167" w14:textId="43311951" w:rsidR="00C4706C" w:rsidRDefault="004E76A8" w:rsidP="00113D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Information on complaints outcomes, actions </w:t>
      </w:r>
      <w:r w:rsidR="0054063D">
        <w:rPr>
          <w:rFonts w:ascii="Arial" w:hAnsi="Arial" w:cs="Arial"/>
          <w:sz w:val="24"/>
          <w:szCs w:val="24"/>
        </w:rPr>
        <w:t>taken,</w:t>
      </w:r>
      <w:r>
        <w:rPr>
          <w:rFonts w:ascii="Arial" w:hAnsi="Arial" w:cs="Arial"/>
          <w:sz w:val="24"/>
          <w:szCs w:val="24"/>
        </w:rPr>
        <w:t xml:space="preserve"> and q</w:t>
      </w:r>
      <w:r w:rsidR="00CE1F2C">
        <w:rPr>
          <w:rFonts w:ascii="Arial" w:hAnsi="Arial" w:cs="Arial"/>
          <w:sz w:val="24"/>
          <w:szCs w:val="24"/>
        </w:rPr>
        <w:t xml:space="preserve">uarterly </w:t>
      </w:r>
      <w:r>
        <w:rPr>
          <w:rFonts w:ascii="Arial" w:hAnsi="Arial" w:cs="Arial"/>
          <w:sz w:val="24"/>
          <w:szCs w:val="24"/>
        </w:rPr>
        <w:t>key performance indicators</w:t>
      </w:r>
      <w:r w:rsidR="00CE1F2C">
        <w:rPr>
          <w:rFonts w:ascii="Arial" w:hAnsi="Arial" w:cs="Arial"/>
          <w:sz w:val="24"/>
          <w:szCs w:val="24"/>
        </w:rPr>
        <w:t xml:space="preserve"> </w:t>
      </w:r>
      <w:r w:rsidR="00C2724D">
        <w:rPr>
          <w:rFonts w:ascii="Arial" w:hAnsi="Arial" w:cs="Arial"/>
          <w:sz w:val="24"/>
          <w:szCs w:val="24"/>
        </w:rPr>
        <w:t xml:space="preserve">are </w:t>
      </w:r>
      <w:r w:rsidR="001B5941">
        <w:rPr>
          <w:rFonts w:ascii="Arial" w:hAnsi="Arial" w:cs="Arial"/>
          <w:sz w:val="24"/>
          <w:szCs w:val="24"/>
        </w:rPr>
        <w:t xml:space="preserve">also </w:t>
      </w:r>
      <w:r w:rsidR="00C2724D">
        <w:rPr>
          <w:rFonts w:ascii="Arial" w:hAnsi="Arial" w:cs="Arial"/>
          <w:sz w:val="24"/>
          <w:szCs w:val="24"/>
        </w:rPr>
        <w:t>available on our website.</w:t>
      </w:r>
    </w:p>
    <w:p w14:paraId="3A7A73BF" w14:textId="11324E50" w:rsidR="00C4706C" w:rsidRDefault="00C4706C" w:rsidP="00113D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F2FF7F" w14:textId="724079F5" w:rsidR="00B81D0F" w:rsidRDefault="00B81D0F" w:rsidP="00113D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93AF81" w14:textId="77777777" w:rsidR="00B81D0F" w:rsidRDefault="00B81D0F" w:rsidP="00113D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60E72A" w14:textId="1AA322B6" w:rsidR="0004088D" w:rsidRDefault="0004088D" w:rsidP="00113D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Mandy Thomson</w:t>
      </w:r>
    </w:p>
    <w:p w14:paraId="2FF5EA25" w14:textId="757A2580" w:rsidR="00EE2850" w:rsidRDefault="0054063D" w:rsidP="00113D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May 2024</w:t>
      </w:r>
    </w:p>
    <w:sectPr w:rsidR="00EE2850" w:rsidSect="00CE1F2C"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A09EC" w14:textId="77777777" w:rsidR="00EE2850" w:rsidRDefault="00EE2850" w:rsidP="00EE2850">
      <w:pPr>
        <w:spacing w:after="0" w:line="240" w:lineRule="auto"/>
      </w:pPr>
      <w:r>
        <w:separator/>
      </w:r>
    </w:p>
  </w:endnote>
  <w:endnote w:type="continuationSeparator" w:id="0">
    <w:p w14:paraId="4285F2ED" w14:textId="77777777" w:rsidR="00EE2850" w:rsidRDefault="00EE2850" w:rsidP="00EE2850">
      <w:pPr>
        <w:spacing w:after="0" w:line="240" w:lineRule="auto"/>
      </w:pPr>
      <w:r>
        <w:continuationSeparator/>
      </w:r>
    </w:p>
  </w:endnote>
  <w:endnote w:id="1">
    <w:p w14:paraId="4D441B42" w14:textId="73D750E1" w:rsidR="00EE2850" w:rsidRDefault="00EE285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E2850">
        <w:rPr>
          <w:rFonts w:ascii="Arial" w:hAnsi="Arial" w:cs="Arial"/>
          <w:b/>
          <w:bCs/>
        </w:rPr>
        <w:t>except</w:t>
      </w:r>
      <w:r w:rsidRPr="00EE2850">
        <w:rPr>
          <w:rFonts w:ascii="Arial" w:hAnsi="Arial" w:cs="Arial"/>
        </w:rPr>
        <w:t xml:space="preserve"> where there is a statutory procedure for challenging that decision, or an established appeals process followed throughout the sector</w:t>
      </w:r>
    </w:p>
  </w:endnote>
  <w:endnote w:id="2">
    <w:p w14:paraId="7ED0130F" w14:textId="20CA8264" w:rsidR="00EE2850" w:rsidRDefault="00EE285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E2850">
        <w:rPr>
          <w:rFonts w:ascii="Arial" w:hAnsi="Arial" w:cs="Arial"/>
          <w:b/>
          <w:bCs/>
        </w:rPr>
        <w:t>except</w:t>
      </w:r>
      <w:r w:rsidRPr="00EE2850">
        <w:rPr>
          <w:rFonts w:ascii="Arial" w:hAnsi="Arial" w:cs="Arial"/>
        </w:rPr>
        <w:t xml:space="preserve"> where there is a statutory procedure for challenging that decision, or an established appeals process followed throughout the sector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4757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C70CA7" w14:textId="5854CA36" w:rsidR="002719AF" w:rsidRDefault="002719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7ED0EA" w14:textId="77777777" w:rsidR="002719AF" w:rsidRDefault="00271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5F6F6" w14:textId="77777777" w:rsidR="00EE2850" w:rsidRDefault="00EE2850" w:rsidP="00EE2850">
      <w:pPr>
        <w:spacing w:after="0" w:line="240" w:lineRule="auto"/>
      </w:pPr>
      <w:r>
        <w:separator/>
      </w:r>
    </w:p>
  </w:footnote>
  <w:footnote w:type="continuationSeparator" w:id="0">
    <w:p w14:paraId="16DB4579" w14:textId="77777777" w:rsidR="00EE2850" w:rsidRDefault="00EE2850" w:rsidP="00EE2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604D"/>
    <w:multiLevelType w:val="hybridMultilevel"/>
    <w:tmpl w:val="61021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B06B1"/>
    <w:multiLevelType w:val="hybridMultilevel"/>
    <w:tmpl w:val="A3186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8578E">
      <w:numFmt w:val="bullet"/>
      <w:lvlText w:val="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437D4"/>
    <w:multiLevelType w:val="hybridMultilevel"/>
    <w:tmpl w:val="F5382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921C0"/>
    <w:multiLevelType w:val="hybridMultilevel"/>
    <w:tmpl w:val="00342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21DBC"/>
    <w:multiLevelType w:val="hybridMultilevel"/>
    <w:tmpl w:val="CA104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C380A"/>
    <w:multiLevelType w:val="hybridMultilevel"/>
    <w:tmpl w:val="46A82144"/>
    <w:lvl w:ilvl="0" w:tplc="612C6A52">
      <w:numFmt w:val="bullet"/>
      <w:lvlText w:val="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0B0D77"/>
    <w:multiLevelType w:val="hybridMultilevel"/>
    <w:tmpl w:val="A3CEA746"/>
    <w:lvl w:ilvl="0" w:tplc="612C6A52">
      <w:numFmt w:val="bullet"/>
      <w:lvlText w:val="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7543CD"/>
    <w:multiLevelType w:val="hybridMultilevel"/>
    <w:tmpl w:val="B39E5FB4"/>
    <w:lvl w:ilvl="0" w:tplc="612C6A52">
      <w:numFmt w:val="bullet"/>
      <w:lvlText w:val="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F41EB7"/>
    <w:multiLevelType w:val="hybridMultilevel"/>
    <w:tmpl w:val="3A30D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B74F4"/>
    <w:multiLevelType w:val="hybridMultilevel"/>
    <w:tmpl w:val="4036D6D2"/>
    <w:lvl w:ilvl="0" w:tplc="612C6A52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04BA2"/>
    <w:multiLevelType w:val="hybridMultilevel"/>
    <w:tmpl w:val="9440D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1056F"/>
    <w:multiLevelType w:val="hybridMultilevel"/>
    <w:tmpl w:val="64C2C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259CE"/>
    <w:multiLevelType w:val="hybridMultilevel"/>
    <w:tmpl w:val="43C8C1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303642">
    <w:abstractNumId w:val="12"/>
  </w:num>
  <w:num w:numId="2" w16cid:durableId="922841290">
    <w:abstractNumId w:val="1"/>
  </w:num>
  <w:num w:numId="3" w16cid:durableId="1373533581">
    <w:abstractNumId w:val="3"/>
  </w:num>
  <w:num w:numId="4" w16cid:durableId="178324370">
    <w:abstractNumId w:val="9"/>
  </w:num>
  <w:num w:numId="5" w16cid:durableId="1713536191">
    <w:abstractNumId w:val="7"/>
  </w:num>
  <w:num w:numId="6" w16cid:durableId="398097672">
    <w:abstractNumId w:val="5"/>
  </w:num>
  <w:num w:numId="7" w16cid:durableId="1287933847">
    <w:abstractNumId w:val="6"/>
  </w:num>
  <w:num w:numId="8" w16cid:durableId="1794247936">
    <w:abstractNumId w:val="0"/>
  </w:num>
  <w:num w:numId="9" w16cid:durableId="266888316">
    <w:abstractNumId w:val="11"/>
  </w:num>
  <w:num w:numId="10" w16cid:durableId="1870798375">
    <w:abstractNumId w:val="2"/>
  </w:num>
  <w:num w:numId="11" w16cid:durableId="272590572">
    <w:abstractNumId w:val="4"/>
  </w:num>
  <w:num w:numId="12" w16cid:durableId="1817066805">
    <w:abstractNumId w:val="8"/>
  </w:num>
  <w:num w:numId="13" w16cid:durableId="283829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CAE"/>
    <w:rsid w:val="000143C2"/>
    <w:rsid w:val="00036ACD"/>
    <w:rsid w:val="0004088D"/>
    <w:rsid w:val="00061B60"/>
    <w:rsid w:val="000840D5"/>
    <w:rsid w:val="0009733B"/>
    <w:rsid w:val="000C7EF7"/>
    <w:rsid w:val="000D6408"/>
    <w:rsid w:val="00111E36"/>
    <w:rsid w:val="00113DE4"/>
    <w:rsid w:val="00132E14"/>
    <w:rsid w:val="0014213B"/>
    <w:rsid w:val="0014393B"/>
    <w:rsid w:val="001613FA"/>
    <w:rsid w:val="001A5AD5"/>
    <w:rsid w:val="001B487C"/>
    <w:rsid w:val="001B5941"/>
    <w:rsid w:val="001D0D42"/>
    <w:rsid w:val="001D3BFF"/>
    <w:rsid w:val="002719AF"/>
    <w:rsid w:val="002779FA"/>
    <w:rsid w:val="002B3E9A"/>
    <w:rsid w:val="00376B49"/>
    <w:rsid w:val="003E175B"/>
    <w:rsid w:val="003E1827"/>
    <w:rsid w:val="0045613D"/>
    <w:rsid w:val="00493C83"/>
    <w:rsid w:val="00495734"/>
    <w:rsid w:val="004B3715"/>
    <w:rsid w:val="004E76A8"/>
    <w:rsid w:val="004F545E"/>
    <w:rsid w:val="00501750"/>
    <w:rsid w:val="0054063D"/>
    <w:rsid w:val="005407DC"/>
    <w:rsid w:val="00551CAE"/>
    <w:rsid w:val="0055608E"/>
    <w:rsid w:val="005B01F2"/>
    <w:rsid w:val="005D41FB"/>
    <w:rsid w:val="005E6029"/>
    <w:rsid w:val="006E047E"/>
    <w:rsid w:val="00743B82"/>
    <w:rsid w:val="00746D73"/>
    <w:rsid w:val="00763944"/>
    <w:rsid w:val="00797BD3"/>
    <w:rsid w:val="007E657A"/>
    <w:rsid w:val="008134B7"/>
    <w:rsid w:val="00890DBA"/>
    <w:rsid w:val="008B0473"/>
    <w:rsid w:val="008C3B4C"/>
    <w:rsid w:val="00931AA1"/>
    <w:rsid w:val="00950565"/>
    <w:rsid w:val="009B3576"/>
    <w:rsid w:val="00A71EAD"/>
    <w:rsid w:val="00A85CAA"/>
    <w:rsid w:val="00AB64F2"/>
    <w:rsid w:val="00AC2871"/>
    <w:rsid w:val="00AD4386"/>
    <w:rsid w:val="00AE4E04"/>
    <w:rsid w:val="00B34F1A"/>
    <w:rsid w:val="00B70B1C"/>
    <w:rsid w:val="00B81D0F"/>
    <w:rsid w:val="00B85636"/>
    <w:rsid w:val="00B978A3"/>
    <w:rsid w:val="00C2724D"/>
    <w:rsid w:val="00C4706C"/>
    <w:rsid w:val="00C61C64"/>
    <w:rsid w:val="00CA2A7B"/>
    <w:rsid w:val="00CE1F2C"/>
    <w:rsid w:val="00DA62BD"/>
    <w:rsid w:val="00DE585E"/>
    <w:rsid w:val="00DF08A0"/>
    <w:rsid w:val="00DF5A9D"/>
    <w:rsid w:val="00E72904"/>
    <w:rsid w:val="00EE2850"/>
    <w:rsid w:val="00F0453A"/>
    <w:rsid w:val="00F150DF"/>
    <w:rsid w:val="00FB5F8A"/>
    <w:rsid w:val="00FD77C4"/>
    <w:rsid w:val="00FF4A55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F21D2"/>
  <w15:chartTrackingRefBased/>
  <w15:docId w15:val="{0C94A0A4-1A75-4FB4-8BC5-4143A038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43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43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C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43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43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438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4386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AD43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43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AD4386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FD7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3D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70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06C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8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285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E285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15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0D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9AF"/>
  </w:style>
  <w:style w:type="paragraph" w:styleId="Footer">
    <w:name w:val="footer"/>
    <w:basedOn w:val="Normal"/>
    <w:link w:val="FooterChar"/>
    <w:uiPriority w:val="99"/>
    <w:unhideWhenUsed/>
    <w:rsid w:val="0027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a.gov.uk/h-wi-vjb/comments-and-complaint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8489F3F051541858FE57C5D8FC68E" ma:contentTypeVersion="5" ma:contentTypeDescription="Create a new document." ma:contentTypeScope="" ma:versionID="4d556b89efa042d83e5c96ea0a1171af">
  <xsd:schema xmlns:xsd="http://www.w3.org/2001/XMLSchema" xmlns:xs="http://www.w3.org/2001/XMLSchema" xmlns:p="http://schemas.microsoft.com/office/2006/metadata/properties" xmlns:ns2="c231b8ea-2040-4f83-aa18-55aa50e1cdf7" targetNamespace="http://schemas.microsoft.com/office/2006/metadata/properties" ma:root="true" ma:fieldsID="c4aef3b68a7d9c869b97c37ce70b1358" ns2:_="">
    <xsd:import namespace="c231b8ea-2040-4f83-aa18-55aa50e1cdf7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Complaint_x0020_Number" minOccurs="0"/>
                <xsd:element ref="ns2:File_x0020_name" minOccurs="0"/>
                <xsd:element ref="ns2:Destruction_x0020_Date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1b8ea-2040-4f83-aa18-55aa50e1cdf7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[Please Select]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[Please Select]"/>
                    <xsd:enumeration value="Log"/>
                    <xsd:enumeration value="Reports"/>
                    <xsd:enumeration value="Complaint"/>
                    <xsd:enumeration value="Policy"/>
                  </xsd:restriction>
                </xsd:simpleType>
              </xsd:element>
            </xsd:sequence>
          </xsd:extension>
        </xsd:complexContent>
      </xsd:complexType>
    </xsd:element>
    <xsd:element name="Complaint_x0020_Number" ma:index="9" nillable="true" ma:displayName="Complaint Number" ma:internalName="Complaint_x0020_Number">
      <xsd:simpleType>
        <xsd:restriction base="dms:Text">
          <xsd:maxLength value="255"/>
        </xsd:restriction>
      </xsd:simpleType>
    </xsd:element>
    <xsd:element name="File_x0020_name" ma:index="10" nillable="true" ma:displayName="File name" ma:internalName="File_x0020_name">
      <xsd:simpleType>
        <xsd:restriction base="dms:Text">
          <xsd:maxLength value="255"/>
        </xsd:restriction>
      </xsd:simpleType>
    </xsd:element>
    <xsd:element name="Destruction_x0020_Date" ma:index="11" nillable="true" ma:displayName="Destruction Date" ma:internalName="Destruction_x0020_Date">
      <xsd:simpleType>
        <xsd:restriction base="dms:Text">
          <xsd:maxLength value="255"/>
        </xsd:restriction>
      </xsd:simpleType>
    </xsd:element>
    <xsd:element name="Comments" ma:index="12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c231b8ea-2040-4f83-aa18-55aa50e1cdf7">
      <Value>Reports</Value>
    </Document_x0020_Type>
    <File_x0020_name xmlns="c231b8ea-2040-4f83-aa18-55aa50e1cdf7" xsi:nil="true"/>
    <Comments xmlns="c231b8ea-2040-4f83-aa18-55aa50e1cdf7" xsi:nil="true"/>
    <Complaint_x0020_Number xmlns="c231b8ea-2040-4f83-aa18-55aa50e1cdf7" xsi:nil="true"/>
    <Destruction_x0020_Date xmlns="c231b8ea-2040-4f83-aa18-55aa50e1cdf7" xsi:nil="true"/>
  </documentManagement>
</p:properties>
</file>

<file path=customXml/itemProps1.xml><?xml version="1.0" encoding="utf-8"?>
<ds:datastoreItem xmlns:ds="http://schemas.openxmlformats.org/officeDocument/2006/customXml" ds:itemID="{FAB21A77-7026-47B8-9703-BB8B626155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C76393-2B62-4F46-83DA-2D8C2D402C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B1888-30D7-4FF2-A027-CA175012F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31b8ea-2040-4f83-aa18-55aa50e1c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A21579-A27A-46F3-AD91-1056642CFFA1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c231b8ea-2040-4f83-aa18-55aa50e1cdf7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Thomson</dc:creator>
  <cp:keywords/>
  <dc:description/>
  <cp:lastModifiedBy>Mandy Thomson (Valuation Joint Board)</cp:lastModifiedBy>
  <cp:revision>5</cp:revision>
  <dcterms:created xsi:type="dcterms:W3CDTF">2024-03-26T06:35:00Z</dcterms:created>
  <dcterms:modified xsi:type="dcterms:W3CDTF">2024-05-05T14:18:00Z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0x0101006968489F3F051541858FE57C5D8FC68E</vt:lpwstr>
  </property>
</Properties>
</file>